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6C" w:rsidRPr="00AC2E16" w:rsidRDefault="0073216C" w:rsidP="0073216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 w:rsidRPr="00AC2E16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1BD21F09" wp14:editId="66FD54EA">
            <wp:extent cx="533400" cy="67056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FINANCIJSKI 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PRORAČUNA</w:t>
      </w:r>
    </w:p>
    <w:p w:rsidR="0073216C" w:rsidRPr="00AC2E16" w:rsidRDefault="0073216C" w:rsidP="007321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  -  XII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2016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17.495.124,71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Iznos plana od 17.495.124,71 kn sadrži , vlastite prihode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korisnika , prihode iz nenadležnih proračuna za korisnike i viškove i manjkove korisnika iz prethodnih godina. </w:t>
      </w:r>
      <w:r w:rsidR="002468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poslovanja  Grada Zlatara iz prethodne godine iznosi 1.778.952,93 kuna.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 izuzmemo planirani iznos od korisnika iz drugih izvora, od </w:t>
      </w:r>
      <w:r w:rsidR="002468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1.274</w:t>
      </w:r>
      <w:r w:rsidR="00D72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.621,03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kuna, plan prihoda i primitaka Grada Zlatara iznosi </w:t>
      </w:r>
      <w:r w:rsidR="003777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14.441.550,75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ostvareni su u iznosu od </w:t>
      </w:r>
      <w:r w:rsidR="003777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12.726.090,35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ili </w:t>
      </w:r>
      <w:r w:rsidR="003777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88,12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%.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tablici broj 1 daje se pregled ostvarenih prihoda </w:t>
      </w:r>
      <w:r w:rsidR="003777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primitaka u 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godini, u odnosu na plan.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 broj 1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Ostvareni prihodi i primici </w:t>
      </w:r>
      <w:r w:rsidR="003777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288"/>
        <w:gridCol w:w="3107"/>
        <w:gridCol w:w="1559"/>
        <w:gridCol w:w="1559"/>
        <w:gridCol w:w="851"/>
      </w:tblGrid>
      <w:tr w:rsidR="00DF7241" w:rsidRPr="00DF7241" w:rsidTr="00B647C3">
        <w:trPr>
          <w:trHeight w:val="28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2016.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2016.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DF7241" w:rsidRPr="00DF7241" w:rsidTr="00B647C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647C3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14.431.550,75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12.717.172,19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88,12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6.799.587,21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95,77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6.500.000,00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6.297.008,27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96,88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293.029,49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83,72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209.549,45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83,82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4.197.050,75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3.078.185,73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73,34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1.227.050,75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153.185,73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12,48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2.970.000,00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2.925.000,00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98,48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370.541,57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87,70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65.000,00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62.671,44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96,42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357.500,00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307.870,13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86,12</w:t>
            </w:r>
          </w:p>
        </w:tc>
      </w:tr>
      <w:tr w:rsidR="00DF7241" w:rsidRPr="00DF7241" w:rsidTr="00B647C3">
        <w:trPr>
          <w:trHeight w:val="5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upravnih pristojbi i 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2.707.000,00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2.468.857,68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91,20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1.4.1.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930.000,00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869.822,23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93,53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1.300.000,00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1.199.461,83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92,27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Drugi 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477.000,00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399.573,62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83,77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8.918,16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89,18</w:t>
            </w:r>
          </w:p>
        </w:tc>
      </w:tr>
      <w:tr w:rsidR="00DF7241" w:rsidRPr="00DF7241" w:rsidTr="00B647C3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neproizvedene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8.918,16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41" w:rsidRPr="00DF7241" w:rsidRDefault="00DF7241" w:rsidP="00DF72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89,18</w:t>
            </w:r>
          </w:p>
        </w:tc>
      </w:tr>
      <w:tr w:rsidR="00DF7241" w:rsidRPr="00DF7241" w:rsidTr="00B647C3">
        <w:trPr>
          <w:trHeight w:val="3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241" w:rsidRPr="00DF7241" w:rsidRDefault="00DF7241" w:rsidP="00DF7241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UKUPNI PRIHODI I PRIMICI</w:t>
            </w:r>
          </w:p>
          <w:p w:rsidR="00DF7241" w:rsidRPr="00DF7241" w:rsidRDefault="00DF7241" w:rsidP="00DF7241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241" w:rsidRPr="00DF7241" w:rsidRDefault="00DF7241" w:rsidP="00DF7241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14.441.550,75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241" w:rsidRPr="00DF7241" w:rsidRDefault="00DF7241" w:rsidP="00DF7241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12.726.090,35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41" w:rsidRPr="00DF7241" w:rsidRDefault="00DF7241" w:rsidP="00DF7241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88,12</w:t>
            </w:r>
          </w:p>
        </w:tc>
      </w:tr>
      <w:tr w:rsidR="00DF7241" w:rsidRPr="00DF7241" w:rsidTr="00B647C3">
        <w:trPr>
          <w:trHeight w:val="288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Višak / manjak prihoda</w:t>
            </w:r>
          </w:p>
        </w:tc>
        <w:tc>
          <w:tcPr>
            <w:tcW w:w="31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1.778.952,93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F7241" w:rsidRPr="00DF7241" w:rsidTr="00B647C3">
        <w:trPr>
          <w:trHeight w:val="288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16.220.503,68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41" w:rsidRPr="00DF7241" w:rsidRDefault="00DF7241" w:rsidP="00DF72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F7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78,46</w:t>
            </w:r>
          </w:p>
        </w:tc>
      </w:tr>
    </w:tbl>
    <w:p w:rsidR="00DF7241" w:rsidRPr="00DF7241" w:rsidRDefault="00DF7241" w:rsidP="00DF7241"/>
    <w:p w:rsidR="005B3FCF" w:rsidRPr="00AC2E16" w:rsidRDefault="005B3FCF" w:rsidP="005B3FC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 ukupno ostvarenim prihodima vrijednosno najznačajniji izvor prihoda su prihodi od poreza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6.799.587,21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 i imaju udjel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53,43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u ukupno ostvarenim prihodima. 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Prihodi od pomoći  su planirani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4.197.050,75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kn, a ostvareni su u iznosu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3.078.185,73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Ostvarenje je 73,34% u odnosu na plan a na ukupno ostvarene prihode ima udjela 24,19%.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Najveća pomoć primljena je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sanaciju Sokolane od 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nistarstva kulture u iznosu od 2.8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00.000,00 kuna. 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  I    IZDACI </w:t>
      </w:r>
    </w:p>
    <w:p w:rsidR="005B3FCF" w:rsidRPr="00AC2E16" w:rsidRDefault="005B3FCF" w:rsidP="005B3FC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9613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17.495.124,71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Kada izuzmemo rashode korisnika koji su planirani iz vlastitih sredstava i iz pomoći proračunskim korisnicima iz proračuna koji im nije nadležan iznos od </w:t>
      </w:r>
      <w:r w:rsidR="00BA1F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1.247.621,03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  <w:r w:rsidR="00BA1F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iznos od 1.800.200,00 namjenjen za troškove korisnika,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rashodi za</w:t>
      </w:r>
      <w:r w:rsidR="00BA1F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gradske troškove iznose 14.</w:t>
      </w:r>
      <w:r w:rsidR="00020D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447.303,68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Pregled izvršenih rashoda i izdataka </w:t>
      </w:r>
      <w:r w:rsidR="007A07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2016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 daje se u tablici broj 2.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 broj 2</w:t>
      </w:r>
    </w:p>
    <w:p w:rsidR="005B3FCF" w:rsidRPr="00AC2E16" w:rsidRDefault="005B3FCF" w:rsidP="005B3FC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Default="005B3FCF" w:rsidP="005B3FC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Izvršeni rashodi i izdaci</w:t>
      </w:r>
      <w:r w:rsidR="007A07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bez korisnika za 2016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plan</w:t>
      </w:r>
    </w:p>
    <w:p w:rsidR="00882745" w:rsidRDefault="00882745" w:rsidP="005B3FC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960"/>
        <w:gridCol w:w="3520"/>
        <w:gridCol w:w="1860"/>
        <w:gridCol w:w="1680"/>
        <w:gridCol w:w="960"/>
      </w:tblGrid>
      <w:tr w:rsidR="00882745" w:rsidRPr="00882745" w:rsidTr="00882745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2016.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Izvršeno 2016.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82745" w:rsidRPr="00882745" w:rsidTr="00882745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882745" w:rsidRPr="00882745" w:rsidTr="008827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274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274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7.176.903,68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5.510.072,47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76,78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1.234.200,00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1.180.583,69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95,66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4.011.550,02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2.809.908,69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70,05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101.600,00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61.325,78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60,36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587.600,00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568.679,77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96,78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2.932.450,00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1.885.186,86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64,29</w:t>
            </w:r>
          </w:p>
        </w:tc>
      </w:tr>
      <w:tr w:rsidR="00882745" w:rsidRPr="00882745" w:rsidTr="00882745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troškova osobama izvan radnog odnosa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79.743,77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91,24</w:t>
            </w:r>
          </w:p>
        </w:tc>
      </w:tr>
      <w:tr w:rsidR="00882745" w:rsidRPr="00882745" w:rsidTr="00882745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1.2.5.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302.500,00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214.972,51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71,07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406.480,00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341.920,68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84,12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Subvencije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43.837,30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62,62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79.081,15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46,52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građanima i kućanstvima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454.500,00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376.068,54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82,74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830.173,00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678.672,42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81,75</w:t>
            </w:r>
          </w:p>
        </w:tc>
      </w:tr>
      <w:tr w:rsidR="00882745" w:rsidRPr="00882745" w:rsidTr="00882745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6.340.400,00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513A8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3.816.594,40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513A8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60,19</w:t>
            </w:r>
          </w:p>
        </w:tc>
      </w:tr>
      <w:tr w:rsidR="00882745" w:rsidRPr="00882745" w:rsidTr="00882745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43.237,50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22,71</w:t>
            </w:r>
          </w:p>
        </w:tc>
      </w:tr>
      <w:tr w:rsidR="00882745" w:rsidRPr="00882745" w:rsidTr="00882745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dodatna ulaganja na nefinancijskoj imovini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6.150.000,00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513A8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3.773.356,90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513A8" w:rsidP="00882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61,36</w:t>
            </w:r>
          </w:p>
        </w:tc>
      </w:tr>
      <w:tr w:rsidR="00882745" w:rsidRPr="00882745" w:rsidTr="00882745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926.805,40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99,66</w:t>
            </w:r>
          </w:p>
        </w:tc>
      </w:tr>
      <w:tr w:rsidR="00882745" w:rsidRPr="00882745" w:rsidTr="0088274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82745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82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14.447.303,68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513A8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10.253</w:t>
            </w:r>
            <w:r w:rsidR="00F1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45" w:rsidRPr="00882745" w:rsidRDefault="008513A8" w:rsidP="00882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70,97</w:t>
            </w:r>
          </w:p>
        </w:tc>
      </w:tr>
    </w:tbl>
    <w:p w:rsidR="00DF7241" w:rsidRDefault="00DF7241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41EEC" w:rsidRDefault="00641EEC" w:rsidP="00641E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i primitaka u tekućoj godini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="001573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799.607,30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Preneseni manjak prihoda i primitaka iz prethodnog razdoblja iznosi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1.771.872,05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U toku godine</w:t>
      </w:r>
      <w:r w:rsidR="001573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došlo je do povrata naplaćenog prihoda u 2015. godini, kupcu radi promjene rješenja, za iznos od 7.080,88 kuna što mijenja stanje prenesenog viška iz prethodne godine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za pokriće u narednom razdoblju iznosi </w:t>
      </w:r>
      <w:r w:rsidR="001573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2.571.479,35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</w:t>
      </w:r>
    </w:p>
    <w:p w:rsidR="00641EEC" w:rsidRDefault="00641EE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Prilog uz PR-RAS   AOP 234 Prijenosi proračunskim korisnicima iz nadležnog proračuna za financiranje redovne djelatnosti</w:t>
      </w: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Pr="00AC2E16" w:rsidRDefault="00735F2F" w:rsidP="00735F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Proračunski korisnici: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Gradska knjižnica Zlatar RKP 40980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Galerija izvorne umjetnosti Zlatar RKP 43087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Pučko otvoreno učilište Dr.Jurja Žerjavića Zlatar RKP 2875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Dječji vrtić i jaslice Uzdanica Zlatar RKP 37742</w:t>
      </w: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Pregled troškova korisnika po ekonomskoj klasivikaciji</w:t>
      </w:r>
    </w:p>
    <w:p w:rsidR="00735F2F" w:rsidRDefault="00917313" w:rsidP="0073216C">
      <w:pP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  <w:t>KORISNICI 1-12 / 2016</w:t>
      </w:r>
      <w:r w:rsidR="00735F2F" w:rsidRPr="007B387D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  <w:t xml:space="preserve"> ZA IZVJEŠTAJ NA 367</w:t>
      </w:r>
    </w:p>
    <w:tbl>
      <w:tblPr>
        <w:tblW w:w="8530" w:type="dxa"/>
        <w:tblInd w:w="93" w:type="dxa"/>
        <w:tblLook w:val="04A0" w:firstRow="1" w:lastRow="0" w:firstColumn="1" w:lastColumn="0" w:noHBand="0" w:noVBand="1"/>
      </w:tblPr>
      <w:tblGrid>
        <w:gridCol w:w="856"/>
        <w:gridCol w:w="2260"/>
        <w:gridCol w:w="1280"/>
        <w:gridCol w:w="1128"/>
        <w:gridCol w:w="1026"/>
        <w:gridCol w:w="1128"/>
        <w:gridCol w:w="1280"/>
      </w:tblGrid>
      <w:tr w:rsidR="00917313" w:rsidRPr="00917313" w:rsidTr="00917313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konta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redivni 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906.377,47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96.975,44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163.095,94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1.166.448,85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zsposl.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9.818,07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22.318,07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Doprinosi za mirov.osig.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159.976,51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15.031,13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25.279,84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200.287,48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Dopr.za zdravstv.osig.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15.811,65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1.648,56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2.772,64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20.232,85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4.077,80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4.804,00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8.993,55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13.797,55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Uredski i ostali materij.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4.358,08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3.438,05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7.796,13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11.730,96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15.664,12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27.395,08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Mareijal za invest.održ.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193,4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3.300,00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telefona,pošte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4.631,48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6.246,24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10.877,72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 invest.održav.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3.625,00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promiđbe i infor.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4.502,50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5.014,36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5.739,14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 osobne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36.789,56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60.389,56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2.300,00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11.034,00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3.737,92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nespom.rash.posl.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51.291,65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1.034,79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1.818,51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54.144,95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1.972,24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2.582,50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4.983,54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955,99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955,99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 za održavanje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873,25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Ulaganja u računal.pro.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917313" w:rsidRPr="00917313" w:rsidTr="00917313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1.096.969,63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219.048,32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40.507,39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316.485,44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917313" w:rsidRDefault="00917313" w:rsidP="009173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17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1.673.010,78</w:t>
            </w:r>
          </w:p>
        </w:tc>
      </w:tr>
    </w:tbl>
    <w:p w:rsidR="00735F2F" w:rsidRDefault="00735F2F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3980"/>
        <w:gridCol w:w="960"/>
        <w:gridCol w:w="1460"/>
        <w:gridCol w:w="1386"/>
      </w:tblGrid>
      <w:tr w:rsidR="0099367C" w:rsidRPr="0099367C" w:rsidTr="0099367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</w:pPr>
            <w:r w:rsidRPr="00993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  <w:t>PREGLED I USPOREDBA OBVEZA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9367C" w:rsidRPr="0099367C" w:rsidTr="0099367C">
        <w:trPr>
          <w:trHeight w:val="46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OPIS OBVEZE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31.12.2015.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31.12.2016.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zaposlene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92.223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83.369,98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1.078.886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904.885,92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77.534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27.208,27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subvencije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28.623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6.442,82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temeljem sredstava pomoći općeg pror.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2.400,00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naknade građanima i kućanstvima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61.499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42.838,70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 i 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227.022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176.168,94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nabavu nefinanc.imovine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363.717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1.219.941,00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financ.imovinu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7.651.608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6.644.247,74</w:t>
            </w:r>
          </w:p>
        </w:tc>
      </w:tr>
      <w:tr w:rsidR="0099367C" w:rsidRPr="0099367C" w:rsidTr="0099367C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9.581.912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lang w:eastAsia="hr-HR"/>
              </w:rPr>
              <w:t>9.107.503,37</w:t>
            </w:r>
          </w:p>
        </w:tc>
      </w:tr>
    </w:tbl>
    <w:p w:rsidR="001474DB" w:rsidRDefault="001474DB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3434"/>
        <w:gridCol w:w="1057"/>
        <w:gridCol w:w="1071"/>
        <w:gridCol w:w="1071"/>
        <w:gridCol w:w="1341"/>
        <w:gridCol w:w="952"/>
      </w:tblGrid>
      <w:tr w:rsidR="0099367C" w:rsidRPr="0099367C" w:rsidTr="0099367C">
        <w:trPr>
          <w:trHeight w:val="924"/>
        </w:trPr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OPIS OBVEZE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Podskupina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67C" w:rsidRPr="0099367C" w:rsidRDefault="0099367C" w:rsidP="0099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Dospjelo 31.12.2016.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367C" w:rsidRPr="0099367C" w:rsidRDefault="0099367C" w:rsidP="0099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Nedospjelo 31.12.2016.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67C" w:rsidRPr="0099367C" w:rsidRDefault="0099367C" w:rsidP="00993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 obveza 31.12.2016.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67C" w:rsidRPr="0099367C" w:rsidRDefault="0099367C" w:rsidP="0099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iz preth.god.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zaposlene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08495A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83.369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08495A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83.369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649.208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255.678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904.886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323.221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27.017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27.208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subvencije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6.443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6.443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temelj.sredst.pomoći unutar općeg pro.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naknade građanima i kućanstvima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27.654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15.185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42.839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obveze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238 i 239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175.382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787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176.169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168.857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nabavu nefinanc.imovine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290.269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929.672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1.219.941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216.303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Obveze za financ.imovinu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53.206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6.591.042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6.644.248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367C" w:rsidRPr="0099367C" w:rsidTr="0099367C">
        <w:trPr>
          <w:trHeight w:val="30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1.231.579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7.875.924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9.107.503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93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708.381</w:t>
            </w:r>
          </w:p>
        </w:tc>
      </w:tr>
    </w:tbl>
    <w:p w:rsidR="0099367C" w:rsidRDefault="0099367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C3EDD" w:rsidRPr="00AC2E16" w:rsidRDefault="005C3EDD" w:rsidP="005C3ED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Kao što je iz priloženih tabela 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dljivo ukupno  obveze 31.12.2016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iznos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9.107.503,37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:rsidR="005C3EDD" w:rsidRDefault="005C3EDD" w:rsidP="005C3ED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toga je dospjelo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1.231.579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a nedospjelo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7.875.924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Od dospjelih obveza vuće se iz prethodnih godina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708.381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 to prema dobavljačima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655.175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 za kredite 53.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206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:rsidR="005C3EDD" w:rsidRDefault="005C3EDD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4300"/>
        <w:gridCol w:w="960"/>
        <w:gridCol w:w="1600"/>
        <w:gridCol w:w="1071"/>
        <w:gridCol w:w="1071"/>
      </w:tblGrid>
      <w:tr w:rsidR="00611B28" w:rsidRPr="00611B28" w:rsidTr="00611B28">
        <w:trPr>
          <w:trHeight w:val="732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 R E D I T 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Dospjelo do 31.12.2016.            (iz preth.god.)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Nedospjelo 31.12.2016.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Ukupno obveza 31.12.2016.</w:t>
            </w:r>
          </w:p>
        </w:tc>
      </w:tr>
      <w:tr w:rsidR="00611B28" w:rsidRPr="00611B28" w:rsidTr="00611B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ADDIKO BANK d.d.-ZLATHARIAKOM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6.591.042,00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6.591.042,00</w:t>
            </w:r>
          </w:p>
        </w:tc>
      </w:tr>
      <w:tr w:rsidR="00611B28" w:rsidRPr="00611B28" w:rsidTr="00611B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HYPO Klagenfurt ( IZ 1999.)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53.206,00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53.206,00</w:t>
            </w:r>
          </w:p>
        </w:tc>
      </w:tr>
      <w:tr w:rsidR="00611B28" w:rsidRPr="00611B28" w:rsidTr="00611B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53.206,00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6.591.042,00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6.644.248,00</w:t>
            </w:r>
          </w:p>
        </w:tc>
      </w:tr>
    </w:tbl>
    <w:p w:rsidR="00611B28" w:rsidRDefault="00611B28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2727"/>
        <w:gridCol w:w="1928"/>
        <w:gridCol w:w="1017"/>
        <w:gridCol w:w="1017"/>
        <w:gridCol w:w="1151"/>
        <w:gridCol w:w="1328"/>
        <w:gridCol w:w="1062"/>
      </w:tblGrid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Obrazac:Bilješke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RH/JLS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 ZLATAR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RKDP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419346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36370939278</w:t>
            </w: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Šifarska oznaka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Žiro-račin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2360000-1852600005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Tablica 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5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danih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zajmova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primljenih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126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pravne osobe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1.1.2016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Primljene otplate glavnice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Dani zajmovi u tekućoj godini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31.12.2016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Revalorizacija/ tečajne razlike u tekućoj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izdavanja zajma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Tuzemni kratkoročni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444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Tuzemni dugoročni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ZAGREBAČKA BANKA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B1. Inozemni kratkoročni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444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UKUPNO POD B1.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B2. Inozemni dugoročni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43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B2.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Tablica 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85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primljenih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zajmova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126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Naziv pravne osobe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1.1.2016.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Otplate glavnice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Primljeni zajmovi u tekućoj godini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31.12.2016.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Revalorizacija/ tečajne razlike u tekućoj godini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primanja zajma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Tuzemni kratkoročni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Tuzemni dugoročni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699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Addiko Bank-ZLATHARIAKOM za ceste(Grad Zlatar Jamac)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7.597.857,35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926.805,40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6.671.051,95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-80.010,20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20.12.2005.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7.597.857,35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926.805,40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6.671.051,95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-80.010,20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B1. Inozemni kratkoročni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UKUPNO POD B1.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B2. Inozemni dugoročni zajmovi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42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HYPO ALPE ADRIA BANK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53.750,80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53.750,80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-544,81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bidi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Dospjeće. 01.07.2007</w:t>
            </w:r>
            <w:r w:rsidRPr="00611B28">
              <w:rPr>
                <w:rFonts w:ascii="Arial" w:eastAsia="Times New Roman" w:hAnsi="Arial" w:cs="Arial"/>
                <w:sz w:val="14"/>
                <w:szCs w:val="14"/>
                <w:rtl/>
                <w:lang w:eastAsia="hr-HR"/>
              </w:rPr>
              <w:t>.</w:t>
            </w: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B2.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53.750,80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53.750,80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-544,81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Tablica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6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primljenih</w:t>
            </w: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robnih kredita i financijskih najmova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999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pravne osobe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 vrste kredita i aranžmana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 1.1.2016.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Primljene otplate glavnice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31.12.2016.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Tečajne razlike u tekućoj godini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Primljeni robni krediti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 minus 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Financijski najmovi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108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Pregled strukture inozemnih </w:t>
            </w: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zajmova</w:t>
            </w:r>
            <w:r w:rsidRPr="00611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prema ugovorenoj valuti sljedećeg oblika i sadržaja: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816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Ugovorena valuta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duga 31.12.2016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Kanada (CAD)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Danska (DKK)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Japan (JPY)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Norveška (NOK)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Švedska (SEK)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Švicarska (CHF)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Britanija (GBP)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 (USD)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664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EMU (EUR)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7.039,89 EUR HYPO BANKA Klagenfurt(KREDIT IZ 1999.-DUG ZADNJA RATA DOSPJELA 1.7.2007.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600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Tablica</w:t>
            </w:r>
            <w:r w:rsidRPr="00611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dospjelih kamata na zajmove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999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1.1.2016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dospjele u tekućoj godini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plaćene u tekućoj godini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31.12.2016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5=2+3-4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Kamate po primljenim zajmovima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300.778,89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300.778,89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po tuzemnim zajmovima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300.778,89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300.778,89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po inozemnim zajmovima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300.778,89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300.778,89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 Kamate po danim zajmovima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B1. po tuzemnim zajmovima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B2. po inozemnim zajmovima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B.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11B28" w:rsidRPr="00611B28" w:rsidTr="00611B28">
        <w:trPr>
          <w:trHeight w:val="300"/>
        </w:trPr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B28" w:rsidRPr="00611B28" w:rsidRDefault="00611B28" w:rsidP="00611B2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B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28" w:rsidRPr="00611B28" w:rsidRDefault="00611B28" w:rsidP="00611B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611B28" w:rsidRDefault="00611B28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3910"/>
        <w:gridCol w:w="1523"/>
        <w:gridCol w:w="1296"/>
        <w:gridCol w:w="1476"/>
      </w:tblGrid>
      <w:tr w:rsidR="00135964" w:rsidRPr="00135964" w:rsidTr="00135964">
        <w:trPr>
          <w:trHeight w:val="312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31.12.2016</w:t>
            </w: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5964" w:rsidRPr="00135964" w:rsidTr="00135964">
        <w:trPr>
          <w:trHeight w:val="288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Potraživanje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za sufinanc.cesta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408.934,58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133.000,00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275.934,58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za komunal.doprinos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55.754,76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14.427,10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41.327,66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za grobne naknade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458.784,82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458.784,82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ukop pokojnika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3.471,23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3.471,23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za komunalnu naknadu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635.238,98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635.238,98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za sajmišne naknade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3.742,77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3.742,77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Potraž.porez na za korišt.jav.površ.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9.402,01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9.402,01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poreza na tvrtku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72.413,45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72.413,45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Potraž. za otkup stana sa stan.pravom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153.132,44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96.492,87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56.639,57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Potraž.za zadrž.nezak.izgrađ.zgrada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20.899,77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11.166,32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9.733,45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Potraž.za zakup poslov.prostora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8.042,20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542,20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Potraživanje za spomeničku rentu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157.930,77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157.930,77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nespomenuta potraživanja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12.068,61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12.068,61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9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35964" w:rsidRPr="00135964" w:rsidTr="00135964">
        <w:trPr>
          <w:trHeight w:val="31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potraživanje: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1.999.816,39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274.654,90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1.725.161,49</w:t>
            </w:r>
          </w:p>
        </w:tc>
      </w:tr>
    </w:tbl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17"/>
        <w:gridCol w:w="3780"/>
        <w:gridCol w:w="960"/>
        <w:gridCol w:w="1017"/>
        <w:gridCol w:w="1017"/>
        <w:gridCol w:w="960"/>
      </w:tblGrid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Uz Bilancu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E6E6E6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3.618.921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E6E6E6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4.951.729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136,83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3.616.920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4.949.914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136,85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Izdvojena novčana sredstva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90,70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Vrijednosnice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125E5" w:rsidRDefault="000125E5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5E5">
        <w:rPr>
          <w:rFonts w:ascii="Times New Roman" w:eastAsia="Calibri" w:hAnsi="Times New Roman" w:cs="Times New Roman"/>
          <w:sz w:val="24"/>
          <w:szCs w:val="24"/>
        </w:rPr>
        <w:t>Stanje računa na 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31.12.2016. godine iznosi 4.951.729,47 </w:t>
      </w:r>
      <w:r w:rsidRPr="000125E5">
        <w:rPr>
          <w:rFonts w:ascii="Times New Roman" w:eastAsia="Calibri" w:hAnsi="Times New Roman" w:cs="Times New Roman"/>
          <w:sz w:val="24"/>
          <w:szCs w:val="24"/>
        </w:rPr>
        <w:t>kuna, a između ostalog se sastoji  od namjenskih sredstava primljenih od:</w:t>
      </w:r>
    </w:p>
    <w:p w:rsidR="000125E5" w:rsidRDefault="000125E5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141">
        <w:rPr>
          <w:rFonts w:ascii="Times New Roman" w:eastAsia="Calibri" w:hAnsi="Times New Roman" w:cs="Times New Roman"/>
          <w:sz w:val="24"/>
          <w:szCs w:val="24"/>
        </w:rPr>
        <w:t xml:space="preserve">- Ministarstva kulture u iznosu od </w:t>
      </w:r>
      <w:r>
        <w:rPr>
          <w:rFonts w:ascii="Times New Roman" w:eastAsia="Calibri" w:hAnsi="Times New Roman" w:cs="Times New Roman"/>
          <w:sz w:val="24"/>
          <w:szCs w:val="24"/>
        </w:rPr>
        <w:t>2.943.029,26 kuna</w:t>
      </w:r>
      <w:r w:rsidRPr="00BF5141">
        <w:rPr>
          <w:rFonts w:ascii="Times New Roman" w:eastAsia="Calibri" w:hAnsi="Times New Roman" w:cs="Times New Roman"/>
          <w:sz w:val="24"/>
          <w:szCs w:val="24"/>
        </w:rPr>
        <w:t xml:space="preserve"> za rekonstrukciju i dogradnju zgrade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F5141">
        <w:rPr>
          <w:rFonts w:ascii="Times New Roman" w:eastAsia="Calibri" w:hAnsi="Times New Roman" w:cs="Times New Roman"/>
          <w:sz w:val="24"/>
          <w:szCs w:val="24"/>
        </w:rPr>
        <w:t>Sokolskog doma.</w:t>
      </w:r>
    </w:p>
    <w:p w:rsidR="000125E5" w:rsidRPr="000125E5" w:rsidRDefault="00B01B0D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-Krapinsko-zagorske</w:t>
      </w:r>
      <w:r w:rsidR="000125E5">
        <w:rPr>
          <w:rFonts w:ascii="Times New Roman" w:eastAsia="Calibri" w:hAnsi="Times New Roman" w:cs="Times New Roman"/>
          <w:sz w:val="24"/>
          <w:szCs w:val="24"/>
        </w:rPr>
        <w:t xml:space="preserve"> županije u iznosu od 5.000,00 kuna, pomoć za izgradnju zelenih otoka</w:t>
      </w:r>
    </w:p>
    <w:p w:rsidR="000125E5" w:rsidRPr="000125E5" w:rsidRDefault="000125E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zapisniku povjerenstva za popis imovine i obveza Grada Zlat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ara sa stanjem na dan 31.12.2016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utvrđeno je da se imovina povećava za kupljeno, 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gradnju, rekonstrukciju i dogradnju  u vrijednosti od 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3.816.594,40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Vrijednost sitnog inventara je nabavljena i otpisana u vrijednosti od 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4.365,50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Vrijednost pokretne i nepokretne imovine nakon redovnog godišnjeg otpisa iznosi 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30.557.589,08 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:rsidR="000125E5" w:rsidRPr="000125E5" w:rsidRDefault="000125E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D77C4" w:rsidRPr="000125E5" w:rsidRDefault="000125E5" w:rsidP="001D77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Izvještaj o promjenama u vrijednosti i obujmu imovine i obveza u 201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ima promjenu na AOP </w:t>
      </w:r>
      <w:r w:rsidR="005317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016 Potraživanja za prihode poslovanja.</w:t>
      </w:r>
    </w:p>
    <w:p w:rsidR="000125E5" w:rsidRDefault="000125E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 promjene je došlo po Odluci o otpisu nenaplativih </w:t>
      </w:r>
      <w:r w:rsidR="005317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potraživanja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Zlatara </w:t>
      </w:r>
      <w:r w:rsidR="005317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građana za sufinanciranje asfaltiranja nerazvrstanih cesta u iznosu od 244.876,24 kune.</w:t>
      </w:r>
    </w:p>
    <w:p w:rsidR="00B01B0D" w:rsidRDefault="00B01B0D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Budući da se navedena potraživanja ne mogu naplatiti zbog smrti obveznika i zastare iako su poduzete sve zakonske mjere prisilne naplate, donesena je odluka o otpisu potraživanja.</w:t>
      </w:r>
    </w:p>
    <w:p w:rsidR="00B01B0D" w:rsidRPr="007728F4" w:rsidRDefault="00B01B0D" w:rsidP="00B01B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Grad Zlatar vodi evidenciju o pokrenutim sudskim sporovima: </w:t>
      </w:r>
    </w:p>
    <w:p w:rsidR="00B01B0D" w:rsidRPr="007728F4" w:rsidRDefault="00B01B0D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kaznenom postupku br. 6-K-US-7/12 na temelju optužnice Ureda za suzbijanje korupcije i organiziranog kriminaliteta u kojem je Marijan Đurek oglašen krivim nepravomoćnom sudskom presudom od dana 5. lipnja 2013. godine, a u kojem je Grad Zlatar kao oštećenik postavio imovinskopravni zahtjev, optuženi Marijan Đurek dužan je na temelju istog isplatiti oštećenom Gradu Zlataru iznos 23.738.116,57 kuna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Ispred Trgovačkog suda u Zagrebu u tijeku je postupak pod brojem P-546/2010 radi utvrđenja ugovora ništavim između Grada Zlatara kao tužitelja i društva Zagorje distribucija d.o.o.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VPS = 498.094,86 kn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 Općinskim sudom u Zlataru u tijeku je postupak tužitelja Grada Zlatara protiv Ivana Štefanca radi naplate potraživanja za otkup stana.</w:t>
      </w: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08. srpnja 2016. pred Trgovačkim sudom u Zagrebu, Stalna služba Karlovac, pokrenut je postupak predstečajne nagodbe nad dužnikom Ferrostil Mont d.o.o. radi naplate potraživanja s osnova komunalne naknade na iznos od 41.188,34 kuna. 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 dana izrade ove Evidencije okončani su sljedeći postupci u kojima je Grad Zlatar stranka: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pravnoj stvari tužitelja Veterinarska stanica Zlatar Bistrica d.o.o. protiv tuženika Grada Zlatara, broj P-3496/09, radi plateži 92.615,92 kn, postupak je okončan pred Trgovačkim sudom u Zagrebu povlačenjem tužbe tužitelja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pravnoj stvari tužitelja Tisak d.d. protiv tuženika Grada Zlatara radi utvrđenja ništavosti postupak je okončan pred Trgovačkim sudom u Zagrebu, Stalnom službom u Karlovcu, povlačenjem tužbe tužitelja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pravnoj stvari tužitelja VODOPRIVREDA ZAGORJE d.o.o. Klanjec protiv tuženika Grada Zlatara, broj Povrv-70/13-4, radi plateži 479.254,56 kuna, postupak je okončan pred Općinskim sudom u Zlataru povlačenjem tužbe tužitelja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kaznenom predmetu tužitelja Grada Zlatara protiv osuđenika Tomislava Sandlija radi naknade štete u iznosu 6.457,50 kuna, osuđenik je osuđen, obzirom da nije podmirio naprijed utvrđeni iznos štete Gradu Zlataru, na kaznu zatvora u trajanju 4 mjeseca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pravnoj stvari tužitelja Republike Hrvatske protiv tuženika Grada Zlatara radi plateži 31.237,00 kuna, postupak je okončan pred Trgovačkim sudom u Zagrebu povlačenjem tužbe tužitelja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pravnoj stvari tužitelja Grada Zlatara protiv tuženika Stjepana Kljaka</w:t>
      </w:r>
      <w:r w:rsidRPr="007728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radi 1.500,00 kn postupak je okončan pred Općinskim sudom u Zlataru povlačenjem tužbe tužitelja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pravnoj stvari tužitelja Grada Zlatara protiv tuženika Stanka Uroića Tončine</w:t>
      </w:r>
      <w:r w:rsidRPr="007728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radi 1.500,00 kn, postupak je okončan pred Općinskim sudom u Zlataru povlačenjem tužbe tužitelja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pravnoj stvari tužitelja Grada Zlatara protiv tuženika Stjepana Kropfa</w:t>
      </w:r>
      <w:r w:rsidRPr="007728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1.500,00 kn, postupak je okončan pred Općinskim sudom u Zlataru povlačenjem tužbe tužitelja 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predstečajne nagodbe nad dužnikom Ivančica d.d.. pred Nagodbenim vijećem ZG10 Financijske agencije u Zapisniku o ročištu za glasovanje Klasa: UP-I/110/07/14-01/6082, Ur. br. 04-06-14-6082-68 utvrđena je tražbina vjerovnika Grada Zlatara u iznosu 194.507,42 kn</w:t>
      </w: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 Prekršajnim sudom u Zlataru u tijeku je postupak u povodu optužnog prijedloga Državnog odvjetništva u Zlataru zbog povrede odredbi čl. 47. st. 2., a u vezi s čl. 21. st. 1. Zakona o financiranju političkih aktivnosti i izborne promidžbe. </w:t>
      </w: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 Trgovačkim sudom u Zagrebu, Stalna služba u Karlovcu, u tijeku je spor male vrijednosti između tužitelja Grada Zlatara i društva Punkt. d.o.o. pod brojem Povrv-3766/14 </w:t>
      </w: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 Općinskim sudom u Jastrebarskom u tijeku je postupak između tužitelja Grada Zlatara i tuženice Hajdari Hurmize radi isplate br. Povrv 176/14 </w:t>
      </w: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Ispred Trgovačkog suda u Zagrebu u tijeku je postupak pod brojem P-3495/09 radi utvrđenja ugovora ništavim između društva M. S. MILENGRAD kao </w:t>
      </w:r>
      <w:r w:rsidRPr="007728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tužitelja</w:t>
      </w: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Grada Zlatara.</w:t>
      </w:r>
    </w:p>
    <w:p w:rsidR="007728F4" w:rsidRPr="007728F4" w:rsidRDefault="007728F4" w:rsidP="007728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VPS = 766.667,64 </w:t>
      </w:r>
    </w:p>
    <w:p w:rsidR="007728F4" w:rsidRPr="007728F4" w:rsidRDefault="007728F4" w:rsidP="007728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28F4" w:rsidRPr="007728F4" w:rsidRDefault="007728F4" w:rsidP="007728F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predstečajne nagodbe nad dužnikom Juriana d.o.o. pred Trgovačkim sudom u Zagrebu dana 09. lipnja 2015. sklopljena je predstečajna nagodba (3 Stpn-396/14-12) za tražbinu u iznosu 1.710,00 kuna uz 50% otpisa glavnice u iznosu 855,00 kuna, pa smanjena tražbina iznosi 855,00 kuna te će se isplatiti uz poček od godinu dana u jednokratnom iznosu.</w:t>
      </w: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i datum: Zlatar, 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Obradila: Smiljana Adanić</w:t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GRADONAČELNIK</w:t>
      </w:r>
    </w:p>
    <w:p w:rsidR="007728F4" w:rsidRPr="007728F4" w:rsidRDefault="007728F4" w:rsidP="007728F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Stanko Majdak</w:t>
      </w:r>
    </w:p>
    <w:p w:rsidR="007728F4" w:rsidRPr="007728F4" w:rsidRDefault="007728F4" w:rsidP="007728F4">
      <w:pPr>
        <w:rPr>
          <w:sz w:val="24"/>
          <w:szCs w:val="24"/>
        </w:rPr>
      </w:pPr>
    </w:p>
    <w:p w:rsidR="007728F4" w:rsidRDefault="007728F4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317A5" w:rsidRPr="000125E5" w:rsidRDefault="005317A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125E5" w:rsidRDefault="000125E5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0125E5" w:rsidSect="00720574">
      <w:pgSz w:w="11906" w:h="16838"/>
      <w:pgMar w:top="1418" w:right="1418" w:bottom="1418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F3" w:rsidRDefault="009F1BF3" w:rsidP="00720574">
      <w:r>
        <w:separator/>
      </w:r>
    </w:p>
  </w:endnote>
  <w:endnote w:type="continuationSeparator" w:id="0">
    <w:p w:rsidR="009F1BF3" w:rsidRDefault="009F1BF3" w:rsidP="007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F3" w:rsidRDefault="009F1BF3" w:rsidP="00720574">
      <w:r>
        <w:separator/>
      </w:r>
    </w:p>
  </w:footnote>
  <w:footnote w:type="continuationSeparator" w:id="0">
    <w:p w:rsidR="009F1BF3" w:rsidRDefault="009F1BF3" w:rsidP="0072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B75"/>
    <w:multiLevelType w:val="hybridMultilevel"/>
    <w:tmpl w:val="12BC36A4"/>
    <w:lvl w:ilvl="0" w:tplc="EC00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B55"/>
    <w:multiLevelType w:val="hybridMultilevel"/>
    <w:tmpl w:val="9E406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0E87"/>
    <w:multiLevelType w:val="hybridMultilevel"/>
    <w:tmpl w:val="31920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C"/>
    <w:rsid w:val="000125E5"/>
    <w:rsid w:val="00020D70"/>
    <w:rsid w:val="0008495A"/>
    <w:rsid w:val="00131F84"/>
    <w:rsid w:val="00135964"/>
    <w:rsid w:val="001474DB"/>
    <w:rsid w:val="001573EB"/>
    <w:rsid w:val="001B310A"/>
    <w:rsid w:val="001D77C4"/>
    <w:rsid w:val="002468AE"/>
    <w:rsid w:val="00293900"/>
    <w:rsid w:val="002A0959"/>
    <w:rsid w:val="00321D3B"/>
    <w:rsid w:val="00377743"/>
    <w:rsid w:val="003E6FFD"/>
    <w:rsid w:val="004C78BA"/>
    <w:rsid w:val="005317A5"/>
    <w:rsid w:val="005B3FCF"/>
    <w:rsid w:val="005C3EDD"/>
    <w:rsid w:val="00611B28"/>
    <w:rsid w:val="00641EEC"/>
    <w:rsid w:val="00720574"/>
    <w:rsid w:val="0073216C"/>
    <w:rsid w:val="00735F2F"/>
    <w:rsid w:val="007728F4"/>
    <w:rsid w:val="0078411A"/>
    <w:rsid w:val="007A0729"/>
    <w:rsid w:val="00813D5A"/>
    <w:rsid w:val="008446CD"/>
    <w:rsid w:val="008513A8"/>
    <w:rsid w:val="008526B2"/>
    <w:rsid w:val="00882745"/>
    <w:rsid w:val="00917313"/>
    <w:rsid w:val="00961366"/>
    <w:rsid w:val="0099367C"/>
    <w:rsid w:val="009F1BF3"/>
    <w:rsid w:val="00A27359"/>
    <w:rsid w:val="00B01B0D"/>
    <w:rsid w:val="00B470DD"/>
    <w:rsid w:val="00B647C3"/>
    <w:rsid w:val="00BA1F26"/>
    <w:rsid w:val="00BE4D03"/>
    <w:rsid w:val="00C0053D"/>
    <w:rsid w:val="00C45EC0"/>
    <w:rsid w:val="00C47561"/>
    <w:rsid w:val="00C80448"/>
    <w:rsid w:val="00C85F75"/>
    <w:rsid w:val="00CD4674"/>
    <w:rsid w:val="00D66FBB"/>
    <w:rsid w:val="00D72258"/>
    <w:rsid w:val="00DB2413"/>
    <w:rsid w:val="00DF7241"/>
    <w:rsid w:val="00E72EC5"/>
    <w:rsid w:val="00F14191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FE88-C039-4724-888B-0E9E084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Smiljana</cp:lastModifiedBy>
  <cp:revision>31</cp:revision>
  <cp:lastPrinted>2017-02-09T10:42:00Z</cp:lastPrinted>
  <dcterms:created xsi:type="dcterms:W3CDTF">2017-01-18T13:42:00Z</dcterms:created>
  <dcterms:modified xsi:type="dcterms:W3CDTF">2017-02-09T11:10:00Z</dcterms:modified>
</cp:coreProperties>
</file>