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FDC7" w14:textId="77777777" w:rsidR="00E50D9C" w:rsidRPr="00E50D9C" w:rsidRDefault="00E50D9C" w:rsidP="00E50D9C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888C5D" w14:textId="3886304E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Na temelju članka 109. stavka 4. Zakona o prostornom uređenju (</w:t>
      </w:r>
      <w:r w:rsidR="008E49F3">
        <w:rPr>
          <w:rFonts w:ascii="Times New Roman" w:eastAsia="Calibri" w:hAnsi="Times New Roman" w:cs="Times New Roman"/>
          <w:color w:val="000000"/>
        </w:rPr>
        <w:t>NN</w:t>
      </w:r>
      <w:r w:rsidRPr="00E50D9C">
        <w:rPr>
          <w:rFonts w:ascii="Times New Roman" w:eastAsia="Calibri" w:hAnsi="Times New Roman" w:cs="Times New Roman"/>
          <w:color w:val="000000"/>
        </w:rPr>
        <w:t xml:space="preserve"> 153/13,</w:t>
      </w:r>
      <w:r w:rsidR="008E49F3">
        <w:rPr>
          <w:rFonts w:ascii="Times New Roman" w:eastAsia="Calibri" w:hAnsi="Times New Roman" w:cs="Times New Roman"/>
          <w:color w:val="000000"/>
        </w:rPr>
        <w:t xml:space="preserve"> </w:t>
      </w:r>
      <w:r w:rsidRPr="00E50D9C">
        <w:rPr>
          <w:rFonts w:ascii="Times New Roman" w:eastAsia="Calibri" w:hAnsi="Times New Roman" w:cs="Times New Roman"/>
          <w:color w:val="000000"/>
        </w:rPr>
        <w:t>65/17,</w:t>
      </w:r>
      <w:r w:rsidR="008E49F3">
        <w:rPr>
          <w:rFonts w:ascii="Times New Roman" w:eastAsia="Calibri" w:hAnsi="Times New Roman" w:cs="Times New Roman"/>
          <w:color w:val="000000"/>
        </w:rPr>
        <w:t xml:space="preserve"> </w:t>
      </w:r>
      <w:r w:rsidRPr="00E50D9C">
        <w:rPr>
          <w:rFonts w:ascii="Times New Roman" w:eastAsia="Calibri" w:hAnsi="Times New Roman" w:cs="Times New Roman"/>
          <w:color w:val="000000"/>
        </w:rPr>
        <w:t>14/18</w:t>
      </w:r>
      <w:r w:rsidR="008E49F3">
        <w:rPr>
          <w:rFonts w:ascii="Times New Roman" w:eastAsia="Calibri" w:hAnsi="Times New Roman" w:cs="Times New Roman"/>
          <w:color w:val="000000"/>
        </w:rPr>
        <w:t xml:space="preserve">, </w:t>
      </w:r>
      <w:r w:rsidRPr="00E50D9C">
        <w:rPr>
          <w:rFonts w:ascii="Times New Roman" w:eastAsia="Calibri" w:hAnsi="Times New Roman" w:cs="Times New Roman"/>
          <w:color w:val="000000"/>
        </w:rPr>
        <w:t>39/19)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8E49F3" w:rsidRPr="008E49F3">
        <w:rPr>
          <w:rFonts w:ascii="Times New Roman" w:eastAsia="Times New Roman" w:hAnsi="Times New Roman" w:cs="Times New Roman"/>
          <w:lang w:eastAsia="hr-HR"/>
        </w:rPr>
        <w:t>čl. 27. Statuta Grada Zlatara („Službeni glasnik Krapinsko-zagorske županije“ 36A/13, 9/18, 9/20, 17A/21)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, Gradsko vijeće Grada Zlatara na </w:t>
      </w:r>
      <w:r w:rsidR="009B1BDD">
        <w:rPr>
          <w:rFonts w:ascii="Times New Roman" w:eastAsia="Times New Roman" w:hAnsi="Times New Roman" w:cs="Times New Roman"/>
          <w:lang w:eastAsia="hr-HR"/>
        </w:rPr>
        <w:t>4.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 sjednici održanoj </w:t>
      </w:r>
      <w:r w:rsidR="009B1BDD">
        <w:rPr>
          <w:rFonts w:ascii="Times New Roman" w:eastAsia="Times New Roman" w:hAnsi="Times New Roman" w:cs="Times New Roman"/>
          <w:lang w:eastAsia="hr-HR"/>
        </w:rPr>
        <w:t>03.11.</w:t>
      </w:r>
      <w:r w:rsidRPr="00E50D9C">
        <w:rPr>
          <w:rFonts w:ascii="Times New Roman" w:eastAsia="Times New Roman" w:hAnsi="Times New Roman" w:cs="Times New Roman"/>
          <w:lang w:eastAsia="hr-HR"/>
        </w:rPr>
        <w:t>2021. donosi:</w:t>
      </w:r>
    </w:p>
    <w:p w14:paraId="637DBA27" w14:textId="77777777" w:rsidR="00E50D9C" w:rsidRPr="00E50D9C" w:rsidRDefault="00E50D9C" w:rsidP="00E50D9C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5B596F" w14:textId="77777777" w:rsidR="00E50D9C" w:rsidRPr="00E50D9C" w:rsidRDefault="00E50D9C" w:rsidP="00E50D9C">
      <w:pPr>
        <w:spacing w:before="12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ODLUKU O DONOŠENJU IV. IZMJENA I DOPUNA PROSTORNOG PLANA UREĐENJA GRADA ZLATARA</w:t>
      </w:r>
    </w:p>
    <w:p w14:paraId="7082ED69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DAB92C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I. OPĆE ODREDBE</w:t>
      </w:r>
    </w:p>
    <w:p w14:paraId="06FEB9B6" w14:textId="77777777" w:rsidR="00E50D9C" w:rsidRPr="00E50D9C" w:rsidRDefault="00E50D9C" w:rsidP="00E50D9C">
      <w:pPr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Članak I.</w:t>
      </w:r>
    </w:p>
    <w:p w14:paraId="75271DBB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Donosi se Odluka o donošenju IV. Izmjena i dopuna Prostornog plana uređenja Grada Zlatara (u daljnjem tekstu Plan).</w:t>
      </w:r>
    </w:p>
    <w:p w14:paraId="78AC8BFC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Plan je izradio Zavod za prostorno uređenje Krapinsko-zagorske županije.</w:t>
      </w:r>
    </w:p>
    <w:p w14:paraId="0E8348E6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Uvid u Plan može se obaviti u prostorijama: Grada Zlatara, </w:t>
      </w:r>
      <w:r w:rsidRPr="00E50D9C">
        <w:rPr>
          <w:rFonts w:ascii="Times New Roman" w:eastAsia="Times New Roman" w:hAnsi="Times New Roman" w:cs="Times New Roman"/>
          <w:shd w:val="clear" w:color="auto" w:fill="FFFFFF"/>
          <w:lang w:eastAsia="hr-HR"/>
        </w:rPr>
        <w:t>Park hrvatske mladeži 2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, Zlatar; Zavoda za prostorno uređenje Krapinsko-zagorske županije - Magistratska 1, Krapina; Upravnog odjela za prostorno uređenje, gradnju i zaštitu okoliša, Ispostava Zlatar, </w:t>
      </w:r>
      <w:r w:rsidRPr="00E50D9C">
        <w:rPr>
          <w:rFonts w:ascii="Times New Roman" w:eastAsia="Times New Roman" w:hAnsi="Times New Roman" w:cs="Times New Roman"/>
          <w:shd w:val="clear" w:color="auto" w:fill="FFFFFF"/>
          <w:lang w:eastAsia="hr-HR"/>
        </w:rPr>
        <w:t>Park hrvatske mladeži 2</w:t>
      </w:r>
      <w:r w:rsidRPr="00E50D9C">
        <w:rPr>
          <w:rFonts w:ascii="Times New Roman" w:eastAsia="Times New Roman" w:hAnsi="Times New Roman" w:cs="Times New Roman"/>
          <w:lang w:eastAsia="hr-HR"/>
        </w:rPr>
        <w:t>, Zlatar.</w:t>
      </w:r>
    </w:p>
    <w:p w14:paraId="5D9046E4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Ova Odluka stupa na snagu osam (8) dana od dana objave u Službenom glasniku Krapinsko-zagorske županije </w:t>
      </w:r>
    </w:p>
    <w:p w14:paraId="02FC8088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Sastavni dio Odluke o donošenju Plana je elaborat Plana koji se sastoji od:</w:t>
      </w:r>
    </w:p>
    <w:p w14:paraId="2BDBA3DF" w14:textId="77777777" w:rsidR="00E50D9C" w:rsidRPr="00E50D9C" w:rsidRDefault="00E50D9C" w:rsidP="00E50D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TEKSTUALNI DIO:</w:t>
      </w:r>
    </w:p>
    <w:p w14:paraId="242A59EA" w14:textId="77777777" w:rsidR="00E50D9C" w:rsidRPr="00E50D9C" w:rsidRDefault="00E50D9C" w:rsidP="00E50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Odredbe za provođenje</w:t>
      </w:r>
    </w:p>
    <w:p w14:paraId="07C81D75" w14:textId="77777777" w:rsidR="00E50D9C" w:rsidRPr="00E50D9C" w:rsidRDefault="00E50D9C" w:rsidP="00E50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Pročišćeni tekst Odredbi za provođenje</w:t>
      </w:r>
    </w:p>
    <w:p w14:paraId="231ED4DE" w14:textId="77777777" w:rsidR="00E50D9C" w:rsidRPr="00E50D9C" w:rsidRDefault="00E50D9C" w:rsidP="00E50D9C">
      <w:pPr>
        <w:numPr>
          <w:ilvl w:val="0"/>
          <w:numId w:val="6"/>
        </w:num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GRAFIČKI DIO – kartografski prikazi:</w:t>
      </w:r>
    </w:p>
    <w:p w14:paraId="70D90770" w14:textId="77777777" w:rsidR="00E50D9C" w:rsidRPr="00E50D9C" w:rsidRDefault="00E50D9C" w:rsidP="00E50D9C">
      <w:pPr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ind w:left="1134" w:hanging="35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50D9C">
        <w:rPr>
          <w:rFonts w:ascii="Times New Roman" w:eastAsia="Calibri" w:hAnsi="Times New Roman" w:cs="Times New Roman"/>
          <w:b/>
          <w:color w:val="000000"/>
        </w:rPr>
        <w:t>KORIŠTENJE I NAMJENA POVRŠINA</w:t>
      </w:r>
    </w:p>
    <w:p w14:paraId="50FF35C5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1.A. PROSTORI ZA RAZVOJ I UREĐENJE</w:t>
      </w:r>
    </w:p>
    <w:p w14:paraId="69BE9790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1.B. PROMET – CESTOVNI PROMET</w:t>
      </w:r>
    </w:p>
    <w:p w14:paraId="4FC956B7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1.C. POŠTA I ELEKTRONIČKE KOMUNIKACIJE</w:t>
      </w:r>
    </w:p>
    <w:p w14:paraId="7A10776E" w14:textId="77777777" w:rsidR="00E50D9C" w:rsidRPr="00E50D9C" w:rsidRDefault="00E50D9C" w:rsidP="00E50D9C">
      <w:pPr>
        <w:numPr>
          <w:ilvl w:val="0"/>
          <w:numId w:val="4"/>
        </w:numPr>
        <w:spacing w:before="120" w:after="12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INFRASTRUKTURNI SUSTAVI</w:t>
      </w:r>
    </w:p>
    <w:p w14:paraId="64C2A5B4" w14:textId="77777777" w:rsidR="00E50D9C" w:rsidRPr="00E50D9C" w:rsidRDefault="00E50D9C" w:rsidP="00E50D9C">
      <w:pPr>
        <w:tabs>
          <w:tab w:val="left" w:pos="2145"/>
        </w:tabs>
        <w:spacing w:before="20" w:after="20" w:line="240" w:lineRule="auto"/>
        <w:ind w:left="1134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2.A. ENERGETSKI SUSTAV</w:t>
      </w:r>
    </w:p>
    <w:p w14:paraId="1A5BD637" w14:textId="77777777" w:rsidR="00E50D9C" w:rsidRPr="00E50D9C" w:rsidRDefault="00E50D9C" w:rsidP="00E50D9C">
      <w:pPr>
        <w:spacing w:before="20" w:after="20" w:line="240" w:lineRule="auto"/>
        <w:ind w:left="1134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2.B. VODNOGOSPODARSKI SUSTAV, OBRADA, SKLADIŠTENJE I ODLAGANJE OTPADA</w:t>
      </w:r>
    </w:p>
    <w:p w14:paraId="5035BE11" w14:textId="77777777" w:rsidR="00E50D9C" w:rsidRPr="00E50D9C" w:rsidRDefault="00E50D9C" w:rsidP="00E50D9C">
      <w:pPr>
        <w:numPr>
          <w:ilvl w:val="0"/>
          <w:numId w:val="4"/>
        </w:num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UVJETI ZA KORIŠTENJE, UREĐENJE I ZAŠTITU PROSTORA</w:t>
      </w:r>
    </w:p>
    <w:p w14:paraId="38C973F5" w14:textId="77777777" w:rsidR="00E50D9C" w:rsidRPr="00E50D9C" w:rsidRDefault="00E50D9C" w:rsidP="00E50D9C">
      <w:pPr>
        <w:spacing w:beforeLines="40" w:before="96" w:afterLines="40" w:after="96" w:line="240" w:lineRule="auto"/>
        <w:ind w:left="1134"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72596B" w14:textId="77777777" w:rsidR="00E50D9C" w:rsidRPr="00E50D9C" w:rsidRDefault="00E50D9C" w:rsidP="00E50D9C">
      <w:pPr>
        <w:numPr>
          <w:ilvl w:val="0"/>
          <w:numId w:val="4"/>
        </w:num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GRAĐEVINSKA PODRUČJA NASELJA</w:t>
      </w:r>
    </w:p>
    <w:p w14:paraId="74DD286C" w14:textId="77777777" w:rsidR="00E50D9C" w:rsidRPr="00E50D9C" w:rsidRDefault="00E50D9C" w:rsidP="00E50D9C">
      <w:p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LISTOVI: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4.1. ; 4.2. ; 4.3. ; 4.4.; 4.5.; 4.6.; 4.7.; 4.8.; 4.9.</w:t>
      </w:r>
    </w:p>
    <w:p w14:paraId="6364AD2B" w14:textId="77777777" w:rsidR="00E50D9C" w:rsidRPr="00E50D9C" w:rsidRDefault="00E50D9C" w:rsidP="00E50D9C">
      <w:pPr>
        <w:numPr>
          <w:ilvl w:val="0"/>
          <w:numId w:val="6"/>
        </w:num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OBAVEZNI PRILOZI</w:t>
      </w:r>
    </w:p>
    <w:p w14:paraId="2854473B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Izvod iz II. Ciljanih izmjena i dopuna PPKZŽ (SG 8/15)</w:t>
      </w:r>
    </w:p>
    <w:p w14:paraId="443D5888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Obrazloženje</w:t>
      </w:r>
    </w:p>
    <w:p w14:paraId="007A38CB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Zahtjevi javnopravnih tijela</w:t>
      </w:r>
    </w:p>
    <w:p w14:paraId="6BE17FFC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Izvješće o javnoj raspravi</w:t>
      </w:r>
    </w:p>
    <w:p w14:paraId="44F7E840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Popis propisa i sektorskih dokumenata</w:t>
      </w:r>
    </w:p>
    <w:p w14:paraId="7595AE72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Evidencija postupka izrade i donošenja Plana</w:t>
      </w:r>
    </w:p>
    <w:p w14:paraId="0A524B65" w14:textId="77777777" w:rsidR="00E50D9C" w:rsidRPr="00E50D9C" w:rsidRDefault="00E50D9C" w:rsidP="00E50D9C">
      <w:pPr>
        <w:numPr>
          <w:ilvl w:val="0"/>
          <w:numId w:val="2"/>
        </w:num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Sažetak za javnost</w:t>
      </w:r>
    </w:p>
    <w:p w14:paraId="12231E76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545441" w14:textId="77777777" w:rsidR="00E50D9C" w:rsidRPr="00E50D9C" w:rsidRDefault="00E50D9C" w:rsidP="00E50D9C">
      <w:pPr>
        <w:ind w:firstLine="709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br w:type="page"/>
      </w:r>
    </w:p>
    <w:p w14:paraId="06313515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CE1696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bookmarkStart w:id="0" w:name="_Toc451849970"/>
      <w:r w:rsidRPr="00E50D9C">
        <w:rPr>
          <w:rFonts w:ascii="Times New Roman" w:eastAsia="Times New Roman" w:hAnsi="Times New Roman" w:cs="Times New Roman"/>
          <w:b/>
          <w:lang w:eastAsia="hr-HR"/>
        </w:rPr>
        <w:t>II. ODREDBE ZA PROVOĐENJE</w:t>
      </w:r>
      <w:bookmarkStart w:id="1" w:name="_Toc419887307"/>
      <w:bookmarkEnd w:id="0"/>
      <w:bookmarkEnd w:id="1"/>
    </w:p>
    <w:p w14:paraId="05453590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B248A3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11. mijenja se i glasi:</w:t>
      </w:r>
    </w:p>
    <w:p w14:paraId="53D71C99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Ovim se Prostornim planom utvrđuju građevine od važnosti za Državu i Županiju, kako slijedi:</w:t>
      </w:r>
    </w:p>
    <w:p w14:paraId="7E70F165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Republiku Hrvatsku:</w:t>
      </w:r>
    </w:p>
    <w:p w14:paraId="4DE9AB66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državna cesta D 29 Zlatar Bistrica - Zlatar - Mače,</w:t>
      </w:r>
    </w:p>
    <w:p w14:paraId="18613DB3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koridori elektroničke komunikacijske infrastrukture radijskih i televizijskih operatora elektroničkih komunikacija državnog značaja</w:t>
      </w:r>
    </w:p>
    <w:p w14:paraId="6588C71B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zaštićena kulturna dobra</w:t>
      </w:r>
    </w:p>
    <w:p w14:paraId="4B4B30CC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površina posebne namjene u vršnoj zoni Ivančice,</w:t>
      </w:r>
    </w:p>
    <w:p w14:paraId="1E9BE1B8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mogući ili alternativni koridor (trasa) za izmještanje postojeće državne ceste D 29 iz užeg središta Zlatara (iz povijesne jezgre),</w:t>
      </w:r>
    </w:p>
    <w:p w14:paraId="5D2F20F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Krapinsko-zagorsku županiju:</w:t>
      </w:r>
    </w:p>
    <w:p w14:paraId="74117F3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dijelovi prirode, zaštićeni i predviđeni za zaštitu,</w:t>
      </w:r>
    </w:p>
    <w:p w14:paraId="5E4B7EF5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nepokretna kulturna dobra, zaštićena i predviđena za zaštitu,</w:t>
      </w:r>
    </w:p>
    <w:p w14:paraId="11526C93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županijske ceste,</w:t>
      </w:r>
    </w:p>
    <w:p w14:paraId="221C08A3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ŽC 2128 Petrova Gora (D29) – Lobor – Zlatar (D29)</w:t>
      </w:r>
    </w:p>
    <w:p w14:paraId="288428C3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ŽC 2129 Borkovec (Ž2169) – Martinšćina – Gornja Batina (Ž2169)</w:t>
      </w:r>
    </w:p>
    <w:p w14:paraId="711C889E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ŽC 2169 </w:t>
      </w:r>
      <w:r w:rsidRPr="00E50D9C">
        <w:rPr>
          <w:rFonts w:ascii="Times New Roman" w:eastAsia="Times New Roman" w:hAnsi="Times New Roman" w:cs="Times New Roman"/>
          <w:bCs/>
          <w:lang w:eastAsia="hr-HR"/>
        </w:rPr>
        <w:t>Zlatar (D29) – Gornja Batina – Budinšćina (D24)</w:t>
      </w:r>
    </w:p>
    <w:p w14:paraId="6EB2160C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ŽC 2170 Gornja Batina (Ž2169) – Bočadir (D24)</w:t>
      </w:r>
    </w:p>
    <w:p w14:paraId="4104C5EB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lokalne ceste</w:t>
      </w:r>
    </w:p>
    <w:p w14:paraId="6F299013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LC 22018 Repno – Belec (L22019)</w:t>
      </w:r>
    </w:p>
    <w:p w14:paraId="28892296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LC 22019 </w:t>
      </w:r>
      <w:r w:rsidRPr="00E50D9C">
        <w:rPr>
          <w:rFonts w:ascii="Times New Roman" w:eastAsia="Times New Roman" w:hAnsi="Times New Roman" w:cs="Times New Roman"/>
          <w:bCs/>
          <w:lang w:eastAsia="hr-HR"/>
        </w:rPr>
        <w:t>Juranšćina – Belec (Ž2169)</w:t>
      </w:r>
    </w:p>
    <w:p w14:paraId="3000ADBC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22020 </w:t>
      </w:r>
      <w:r w:rsidRPr="00E50D9C">
        <w:rPr>
          <w:rFonts w:ascii="Times New Roman" w:eastAsia="Times New Roman" w:hAnsi="Times New Roman" w:cs="Times New Roman"/>
          <w:lang w:eastAsia="hr-HR"/>
        </w:rPr>
        <w:t>Gornja Selnica-Belec (Ž2169)</w:t>
      </w:r>
    </w:p>
    <w:p w14:paraId="2515C596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22021 </w:t>
      </w:r>
      <w:r w:rsidRPr="00E50D9C">
        <w:rPr>
          <w:rFonts w:ascii="Times New Roman" w:eastAsia="Times New Roman" w:hAnsi="Times New Roman" w:cs="Times New Roman"/>
          <w:lang w:eastAsia="hr-HR"/>
        </w:rPr>
        <w:t>Završje Belečko (Ž2169) – Gornja Konjščina (L22022)</w:t>
      </w:r>
    </w:p>
    <w:p w14:paraId="4F49DF7C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22052 </w:t>
      </w:r>
      <w:r w:rsidRPr="00E50D9C">
        <w:rPr>
          <w:rFonts w:ascii="Times New Roman" w:eastAsia="Times New Roman" w:hAnsi="Times New Roman" w:cs="Times New Roman"/>
          <w:lang w:eastAsia="hr-HR"/>
        </w:rPr>
        <w:t>Zlatar (Ž2169) – Donja Batina (Ž2170)</w:t>
      </w:r>
    </w:p>
    <w:p w14:paraId="600F89A3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LC 22053 Zlatar (D29) – Lovrečan (Ž2264)</w:t>
      </w:r>
    </w:p>
    <w:p w14:paraId="4F201A24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mogući ili alternativni koridor (trasa) županijske ceste Ž 2169 za planirani obilazak užeg središta naselja Zlatar, naselja Belec i izvorišta Belečka Selnica,</w:t>
      </w:r>
    </w:p>
    <w:p w14:paraId="1D97AE72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koridor za istraživanje trase županijske turističke ceste "Južna Ivančica" (kao dio pravca Krapina - Budinščina).</w:t>
      </w:r>
    </w:p>
    <w:p w14:paraId="5F0C1D4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retencije i akumulacije</w:t>
      </w:r>
    </w:p>
    <w:p w14:paraId="6ECD4DFE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sustav prikupljanja i odvodnje otpadnih voda aglomeracije Zlatar, i uređaj za pročišćavanje otpadnih voda Zlatar Bistrica </w:t>
      </w:r>
    </w:p>
    <w:p w14:paraId="5535F17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odašiljači nepokretnih i pokretnih elektroničkih komunikacijskih mreža izvan građevinskog područja</w:t>
      </w:r>
    </w:p>
    <w:p w14:paraId="117E8874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županijski elektronički komunikacijski vodovi s pripadajućim građevinama </w:t>
      </w:r>
    </w:p>
    <w:p w14:paraId="3E459286" w14:textId="77777777" w:rsidR="00E50D9C" w:rsidRPr="00E50D9C" w:rsidRDefault="00E50D9C" w:rsidP="00E50D9C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srednja škola,</w:t>
      </w:r>
    </w:p>
    <w:p w14:paraId="0E12E3FE" w14:textId="77777777" w:rsidR="00E50D9C" w:rsidRPr="00E50D9C" w:rsidRDefault="00E50D9C" w:rsidP="00E50D9C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dom zdravlja, služba zdravstvene zaštite, </w:t>
      </w:r>
    </w:p>
    <w:p w14:paraId="05C13B6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val="en-GB"/>
        </w:rPr>
      </w:pPr>
    </w:p>
    <w:p w14:paraId="6111884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Članku 12. stavak (2) podstavak 2.1. mijenja se i glasi:</w:t>
      </w:r>
    </w:p>
    <w:p w14:paraId="78A526A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2.1.Razvoj i uređenje površina naselja</w:t>
      </w:r>
    </w:p>
    <w:p w14:paraId="72C8332C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(izgrađeni i neizgrađeni dio građevinskih područja)</w:t>
      </w:r>
    </w:p>
    <w:p w14:paraId="056017D9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stambena namjena</w:t>
      </w:r>
    </w:p>
    <w:p w14:paraId="527F92DB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društvena, javna namjena</w:t>
      </w:r>
    </w:p>
    <w:p w14:paraId="0331D027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poslovna </w:t>
      </w:r>
    </w:p>
    <w:p w14:paraId="290B0D8F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ugostiteljsko-turistička</w:t>
      </w:r>
    </w:p>
    <w:p w14:paraId="2813F2EE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športsko-rekreacijska namjena</w:t>
      </w:r>
    </w:p>
    <w:p w14:paraId="205B65FC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Podstavak 2.2.  a), mijenja se i glasi:</w:t>
      </w:r>
    </w:p>
    <w:p w14:paraId="6D643FFF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Razvoj i uređenje površina izvan naselja</w:t>
      </w:r>
    </w:p>
    <w:p w14:paraId="39F81678" w14:textId="77777777" w:rsidR="00E50D9C" w:rsidRPr="00E50D9C" w:rsidRDefault="00E50D9C" w:rsidP="00E50D9C">
      <w:pPr>
        <w:spacing w:before="40" w:after="40" w:line="240" w:lineRule="auto"/>
        <w:ind w:left="680" w:firstLine="425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a) Izdvojena građevinska područja izvan naselja:</w:t>
      </w:r>
    </w:p>
    <w:p w14:paraId="7D82C4B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gospodarska namjena:</w:t>
      </w:r>
    </w:p>
    <w:p w14:paraId="1CC2B459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proizvodna (pretežito zanatska)</w:t>
      </w:r>
    </w:p>
    <w:p w14:paraId="748D6F9A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komunalno servisna</w:t>
      </w:r>
    </w:p>
    <w:p w14:paraId="70FF6CC4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ugostiteljsko-turistička</w:t>
      </w:r>
    </w:p>
    <w:p w14:paraId="11FC84EE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sportsko-rekreacijska</w:t>
      </w:r>
    </w:p>
    <w:p w14:paraId="1F845D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podstavku b), alineje:</w:t>
      </w:r>
    </w:p>
    <w:p w14:paraId="33FD223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- športsko-rekreacijska namjena - streljane</w:t>
      </w:r>
    </w:p>
    <w:p w14:paraId="1115F1B2" w14:textId="77777777" w:rsidR="00E50D9C" w:rsidRPr="00E50D9C" w:rsidRDefault="00E50D9C" w:rsidP="00E50D9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športsko-rekreacijska namjena – igrališta, brišu se.</w:t>
      </w:r>
    </w:p>
    <w:p w14:paraId="11E5F41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DD2A3B9" w14:textId="77777777" w:rsidR="00E50D9C" w:rsidRPr="00E50D9C" w:rsidRDefault="00E50D9C" w:rsidP="00E50D9C">
      <w:pPr>
        <w:spacing w:after="0" w:line="240" w:lineRule="auto"/>
        <w:ind w:left="680" w:hanging="340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U Članku 13. stavku (2) dodaje se „ELEKTRONIČKE KOMUNIKACIJE „ umjesto riječi „TELEKOMUNIKACIJE“ </w:t>
      </w:r>
    </w:p>
    <w:p w14:paraId="54DFC9F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854202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14. stavku (1) podstavku 1. riječi: “Belca (UPU B)” se brišu.</w:t>
      </w:r>
    </w:p>
    <w:p w14:paraId="3E62A26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8FD3DA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16. oznake “br. 4F i 4I” se brišu.</w:t>
      </w:r>
    </w:p>
    <w:p w14:paraId="56323F2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Tablica 03. mijenja se: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95"/>
        <w:gridCol w:w="1985"/>
        <w:gridCol w:w="1541"/>
        <w:gridCol w:w="2409"/>
      </w:tblGrid>
      <w:tr w:rsidR="00E50D9C" w:rsidRPr="00E50D9C" w14:paraId="7D2334C0" w14:textId="77777777" w:rsidTr="00E72C92">
        <w:trPr>
          <w:trHeight w:val="41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60AC8F35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6FEC34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695C779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NASELJE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B12102D" w14:textId="77777777" w:rsidR="00E50D9C" w:rsidRPr="00E50D9C" w:rsidRDefault="00E50D9C" w:rsidP="00E50D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BROJ KATASTAR-SKE KARTE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F03500F" w14:textId="77777777" w:rsidR="00E50D9C" w:rsidRPr="00E50D9C" w:rsidRDefault="00E50D9C" w:rsidP="00E50D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OZNAKA LIKOVA GRAĐEVINSKIH PODRUČJA</w:t>
            </w:r>
          </w:p>
        </w:tc>
      </w:tr>
      <w:tr w:rsidR="00E50D9C" w:rsidRPr="00E50D9C" w14:paraId="1B55029F" w14:textId="77777777" w:rsidTr="00E72C92"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4AAB99C4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1.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6E35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POVRŠINE STAMBENO-POSLOVNE NAMJENE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BBA8F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U SVIM NASELJIMA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EB7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SVE KARTE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1D367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SVI LIKOVI OSIM </w:t>
            </w:r>
          </w:p>
          <w:p w14:paraId="7747DF78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NAVEDENIH U OVOJ TABLICI</w:t>
            </w:r>
          </w:p>
        </w:tc>
      </w:tr>
      <w:tr w:rsidR="00E50D9C" w:rsidRPr="00E50D9C" w14:paraId="356F003B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27524356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EE0F37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5CCA63B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POVRŠINE SPORTSKO REKREACIJSKE NAMJENE S </w:t>
            </w:r>
            <w:r w:rsidRPr="00E50D9C">
              <w:rPr>
                <w:rFonts w:ascii="Times New Roman" w:eastAsia="Times New Roman" w:hAnsi="Times New Roman" w:cs="Times New Roman"/>
                <w:caps/>
                <w:lang w:eastAsia="hr-HR"/>
              </w:rPr>
              <w:t>turističkim,</w:t>
            </w: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DRUŠTVENIM I ZABAVNIM SADRŽAJIMA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FEF7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0A72AAD6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 GORNJA SELNICA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077D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4.4.</w:t>
            </w:r>
          </w:p>
          <w:p w14:paraId="4ED2FB87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8445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1.2.1.</w:t>
            </w:r>
          </w:p>
          <w:p w14:paraId="4B3245FF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B42EA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9.2.1., 9.2.2. </w:t>
            </w:r>
          </w:p>
        </w:tc>
      </w:tr>
      <w:tr w:rsidR="00E50D9C" w:rsidRPr="00E50D9C" w14:paraId="773F20B1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7E68B46B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DE56AC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19AFCA3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POVRŠINE PROIZVODNIH, TRGOVAČKIH, PRERAĐIVAČKIH, PROMETNO-POSLOVNIH I SKLADIŠNIH NAMJENA S KOMUNALNO-SERVISNIM I POSLOVNO-STAMBENIM SADRŽAJIMA, </w:t>
            </w:r>
          </w:p>
          <w:p w14:paraId="07EE8A7D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TURISTIČKA NAMJENA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3885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6AD274E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6DABE9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 DONJA BATINA</w:t>
            </w:r>
          </w:p>
          <w:p w14:paraId="30CDB0F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0BE4D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 GORNJA SELNICA</w:t>
            </w:r>
          </w:p>
          <w:p w14:paraId="095669B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25D0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10. JURANŠČINA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6F32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  <w:p w14:paraId="6ABB5923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  <w:p w14:paraId="30578D7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  <w:p w14:paraId="29DB3B2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4.8.</w:t>
            </w:r>
          </w:p>
          <w:p w14:paraId="5A799CC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0C5C2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1.3.1., 1.3.2., 1.3.3., 1.3.4.,</w:t>
            </w:r>
          </w:p>
          <w:p w14:paraId="152F44D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1.3.5.</w:t>
            </w:r>
          </w:p>
          <w:p w14:paraId="516FFF9C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5.3.1.</w:t>
            </w:r>
          </w:p>
          <w:p w14:paraId="50ADDCE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00BD4C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9.3.1.</w:t>
            </w:r>
          </w:p>
          <w:p w14:paraId="6C6AE09A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37658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10.3.1.</w:t>
            </w:r>
          </w:p>
        </w:tc>
      </w:tr>
      <w:tr w:rsidR="00E50D9C" w:rsidRPr="00E50D9C" w14:paraId="635C3E75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4BD62408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3118F3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03971E8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ZELENE POVRŠINE I PERIVOJI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A415C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A41FD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  <w:p w14:paraId="5832390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19C2FBF8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68490992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  <w:p w14:paraId="550113E2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4A9E2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1.4.1., 1.4.2., 1.4.3., </w:t>
            </w:r>
          </w:p>
          <w:p w14:paraId="21D60258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1.4.4., 1.4.5., 1.4.6., 1.4.13.</w:t>
            </w:r>
          </w:p>
          <w:p w14:paraId="2A24A92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95BE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1.4.5., 1.4.6, 1.4.7., 1.4.8., 1.4.9., 1.4.10., 1.4.11., 1.4.12.</w:t>
            </w:r>
          </w:p>
          <w:p w14:paraId="59C7DC5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D9C" w:rsidRPr="00E50D9C" w14:paraId="787B4F13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64D4F454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E34F3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2E32207A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PROMETNE POVRŠINE I KORIDORI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4A5C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3728019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D17F8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415518D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6785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 BELEC</w:t>
            </w:r>
          </w:p>
          <w:p w14:paraId="24A2C36C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2FD3B7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 CETINOVEC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9CB6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  <w:p w14:paraId="3A5D7EF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2FDD40B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56092A7D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38AFCE1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4.5.</w:t>
            </w:r>
          </w:p>
          <w:p w14:paraId="4B82D3B3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75005776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8371D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1.5.2.A., 1.5.3., 1.5.4., 1.5.1., 1.5.2. </w:t>
            </w:r>
          </w:p>
          <w:p w14:paraId="06D7271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3186A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2.5.1.</w:t>
            </w:r>
          </w:p>
          <w:p w14:paraId="1CCC4E70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4E9CD71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4.5.1. </w:t>
            </w:r>
          </w:p>
        </w:tc>
      </w:tr>
      <w:tr w:rsidR="00E50D9C" w:rsidRPr="00E50D9C" w14:paraId="5169E068" w14:textId="77777777" w:rsidTr="00E72C92"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2D9582BD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C569CB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8887B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POVRŠINE GROBLJA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8BA9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65BA050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 BELEC</w:t>
            </w:r>
          </w:p>
          <w:p w14:paraId="2C5F816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5.DONJA BATINA</w:t>
            </w:r>
          </w:p>
          <w:p w14:paraId="66F5596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6. MARTINŠČINA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118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4.7</w:t>
            </w:r>
          </w:p>
          <w:p w14:paraId="7274CE85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  <w:p w14:paraId="0623BA08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4.8.</w:t>
            </w:r>
          </w:p>
          <w:p w14:paraId="23A4862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017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1.6.1.</w:t>
            </w:r>
          </w:p>
          <w:p w14:paraId="3C9187B4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2.6.1.</w:t>
            </w:r>
          </w:p>
          <w:p w14:paraId="360FCAE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5.6.1.</w:t>
            </w:r>
          </w:p>
          <w:p w14:paraId="16E7B07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12.6.1.</w:t>
            </w:r>
          </w:p>
        </w:tc>
      </w:tr>
    </w:tbl>
    <w:p w14:paraId="65D2D67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64796CAA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14A97C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17. stavku (1) iza riječi: “parkove” briše se riječ “skverove”. Zadnje dvije rečenice “</w:t>
      </w:r>
      <w:r w:rsidRPr="00E50D9C">
        <w:rPr>
          <w:rFonts w:ascii="Times New Roman" w:eastAsia="Times New Roman" w:hAnsi="Times New Roman" w:cs="Times New Roman"/>
          <w:lang w:eastAsia="hr-HR"/>
        </w:rPr>
        <w:t>Za niske i višestambene zgrade preporuča se pravokutni tlocrt. Kvadratični tlocrt se ne dozvoljava, osim u posebnim slučajevima uz stručno obrazloženje.“, brišu se.</w:t>
      </w:r>
    </w:p>
    <w:p w14:paraId="45AD042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stavku (3), rečenice: “</w:t>
      </w:r>
      <w:r w:rsidRPr="00E50D9C">
        <w:rPr>
          <w:rFonts w:ascii="Times New Roman" w:eastAsia="Times New Roman" w:hAnsi="Times New Roman" w:cs="Times New Roman"/>
          <w:lang w:eastAsia="hr-HR"/>
        </w:rPr>
        <w:t>Unutar granica obuhvata UPU Z (osim povijesne jezgre) dozvoljena visina izgradnje je također P+2, bez nadozida u potkrovlju. Ova odredba će se primjenjivati do donošenja Urbanističkog plana uređenja Zlatara, koji će detaljno utvrditi visine izgradnje. U povijesnoj jezgri kao i u pojasu širine 50 m od granice povijesne jezgre Zlatara za višestambene zgrade visine P+2, potrebno je ishoditi posebne uvjete u smislu članka 91. stavak 2. ovih Odredbi.“, brišu se.</w:t>
      </w:r>
    </w:p>
    <w:p w14:paraId="19855716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B6AB7B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19. stavku (4), oznaka karte 4D, mijenja se u 4.3.</w:t>
      </w:r>
    </w:p>
    <w:p w14:paraId="3815CCD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drugoj crtici riječi ”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 investitora (vlasnika)“, brišu se.</w:t>
      </w:r>
    </w:p>
    <w:p w14:paraId="375FBE7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Stavak (5) se briše u cjelosti.</w:t>
      </w:r>
    </w:p>
    <w:p w14:paraId="6F1A2F0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A8ACC9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20. stavak (3) se briše u cjelosti.</w:t>
      </w:r>
    </w:p>
    <w:p w14:paraId="19D703B0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8B53A1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21. stavku (1) iza riječi: “Grada”, dodaje se “</w:t>
      </w:r>
      <w:r w:rsidRPr="00E50D9C">
        <w:rPr>
          <w:rFonts w:ascii="Times New Roman" w:eastAsia="Times New Roman" w:hAnsi="Times New Roman" w:cs="Times New Roman"/>
          <w:lang w:eastAsia="hr-HR"/>
        </w:rPr>
        <w:t>te zatečenim česticama u zonama izgrađenog ili planiranog građevinskog područja.“</w:t>
      </w:r>
    </w:p>
    <w:p w14:paraId="0B81BB2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AF58F4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22. stavak (2) se briše, a stavak (3) postaje stavak (2).</w:t>
      </w:r>
    </w:p>
    <w:p w14:paraId="09855A0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BDC695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24. dodaje se stavak (5):</w:t>
      </w:r>
    </w:p>
    <w:p w14:paraId="31C2B09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(5) U slučaju interpolacija, gradnje na regulacijskoj liniji te na udaljenosti građevine manjoj od 3 m prema javnim ili prometnim površinama, dozvoljena je gradnja svih vrsta otvora na građevinama.</w:t>
      </w:r>
    </w:p>
    <w:p w14:paraId="14FD2CE2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FAF8B0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26. stavku (1) riječi: “</w:t>
      </w:r>
      <w:r w:rsidRPr="00E50D9C">
        <w:rPr>
          <w:rFonts w:ascii="Times New Roman" w:eastAsia="Times New Roman" w:hAnsi="Times New Roman" w:cs="Times New Roman"/>
          <w:lang w:eastAsia="hr-HR"/>
        </w:rPr>
        <w:t>detalja i uređivanja okoliša (domaće - autohtone vrste drveća, voćaka, grmlja, cvijeća i dr.)“ – brišu se.</w:t>
      </w:r>
    </w:p>
    <w:p w14:paraId="1C757CD6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242E9CB" w14:textId="77777777" w:rsidR="00E50D9C" w:rsidRPr="00E50D9C" w:rsidRDefault="00E50D9C" w:rsidP="00E50D9C">
      <w:pPr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27. stavku (1) rečenice: “</w:t>
      </w:r>
      <w:r w:rsidRPr="00E50D9C">
        <w:rPr>
          <w:rFonts w:ascii="Times New Roman" w:eastAsia="Times New Roman" w:hAnsi="Times New Roman" w:cs="Times New Roman"/>
          <w:lang w:eastAsia="hr-HR"/>
        </w:rPr>
        <w:t>Prozori u potkrovlju se mogu izvesti u zabatnom zidu potkrovlja, krovnim prozorima u ravnini krovnih ploha i krovnim kućicama ("kapićima"). Izvođenje krovnih kućica dozvoljava se samo  unutar razmaka krovnih roženica i moraju biti tradicionalno oblikovane (dvostrešnim krovićima). Nije dozvoljeno izvesti krovne kućice u obliku trokuta ili polukruga.“, zamjenjuju se sa: „Na kosom krovu dozvoljena je izgradnja krovnih prozorskih kućica i postava krovnih prozora u ravnini krovne plohe, te krovnih nadozidnih prozora i krovnog nadozida. Nadogradnja krovnih kućica smije zauzimati najviše 30 % krovne plohe.</w:t>
      </w:r>
    </w:p>
    <w:p w14:paraId="3C0FF89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postavu prozora i krovnih kućica na krovne plohe zaštićenih građevina kao i na području zaštićenih kulturno-povijesnih cjelina potrebno je ishoditi dopuštenje nadležnog konzervatorskog odjela.“</w:t>
      </w:r>
    </w:p>
    <w:p w14:paraId="4BC0D5F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Stavk (2) mijenja se i glasi:</w:t>
      </w:r>
    </w:p>
    <w:p w14:paraId="3FDDD43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„Krovišta mogu biti kosa, u pravilu dvostrešna, tradicijskog nagiba krovnih ploha  30° - 40°, a moguća su i zabatna skošenja strmijeg nagiba. Ravna i višestrešna krovišta te krovišta manjeg nagiba, dozvoljena su ako se time ne narušava ambijentalna cjelovitost naselja, u slučajevima suvremenih oblikovanja i u slučajevima gdje su uvjetovana namjenom građevina.“</w:t>
      </w:r>
    </w:p>
    <w:p w14:paraId="3C22967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Stavak (3) briše se, a stavak (4) postaje stavak (3).</w:t>
      </w:r>
    </w:p>
    <w:p w14:paraId="15F27F2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novi stavak (4):</w:t>
      </w:r>
    </w:p>
    <w:p w14:paraId="1305296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(4) Pristup potkrovlju moguć je unutar građevine ili izgradnjom (dogradnjom) stubišta uz osnovnu stambenu građevinu, a mora biti zatvoreno, natkriveno i uklopljeno u cjelokupni izgled građevine.</w:t>
      </w:r>
    </w:p>
    <w:p w14:paraId="48112DC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61606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28. rečenica: “</w:t>
      </w:r>
      <w:r w:rsidRPr="00E50D9C">
        <w:rPr>
          <w:rFonts w:ascii="Times New Roman" w:eastAsia="Times New Roman" w:hAnsi="Times New Roman" w:cs="Times New Roman"/>
          <w:lang w:eastAsia="hr-HR"/>
        </w:rPr>
        <w:t>Kod izgradnje višestambenih zgrada, južna građevina može biti najmanje 2 svoje visine udaljena od sjeverne građevine“ – briše se.</w:t>
      </w:r>
    </w:p>
    <w:p w14:paraId="25FDB8F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1AD4CD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30. stavku (1), oznake “i UPU B” – brišu se.</w:t>
      </w:r>
    </w:p>
    <w:p w14:paraId="4068E88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podstavku b), zadnja rečenica: “</w:t>
      </w:r>
      <w:r w:rsidRPr="00E50D9C">
        <w:rPr>
          <w:rFonts w:ascii="Times New Roman" w:eastAsia="Times New Roman" w:hAnsi="Times New Roman" w:cs="Times New Roman"/>
          <w:lang w:eastAsia="hr-HR"/>
        </w:rPr>
        <w:t>Rubovi čestica prema susjednim česticama moraju se urediti  kao vegetacijski tamponi u skladu s uvjetima zaštite okoliša;“ – briše se.</w:t>
      </w:r>
    </w:p>
    <w:p w14:paraId="13ACA35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stavku (2), podstavku a), riječi: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unutar UPU B (izuzev dva područja lika 2.1. koja su pod konzervatorskom 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zaštitom)“ – brišu se.</w:t>
      </w:r>
    </w:p>
    <w:p w14:paraId="6103DBFC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stavku (4), oznake “i UPU B” – brišu se.</w:t>
      </w:r>
    </w:p>
    <w:p w14:paraId="6C1B2B0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94EE5F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31. stavak (2) mijenja se i glasi:</w:t>
      </w:r>
    </w:p>
    <w:p w14:paraId="12D90B93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Kada državna, županijska i lokalna cesta prolazi kroz građevinsko područje i kada se uređuje kao ulica, udaljenost vanjskog ruba ulične ograde, regulacijske linije od osi ulice mora iznositi najmanje:</w:t>
      </w:r>
    </w:p>
    <w:p w14:paraId="2B9DCDE3" w14:textId="77777777" w:rsidR="00E50D9C" w:rsidRPr="00E50D9C" w:rsidRDefault="00E50D9C" w:rsidP="00E50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za državnu cestu .......8,5 m </w:t>
      </w:r>
    </w:p>
    <w:p w14:paraId="5FF03BE1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za županijsku cestu .....6 m </w:t>
      </w:r>
    </w:p>
    <w:p w14:paraId="1E360C58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lokalnu cestu ...........5 m</w:t>
      </w:r>
    </w:p>
    <w:p w14:paraId="1A844B23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nerazvrstanu cestu  (ostale ulice, pristupni putevi) .....3 m</w:t>
      </w:r>
    </w:p>
    <w:p w14:paraId="604335E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D780E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38., oznake “i UPU B” – brišu se.</w:t>
      </w:r>
    </w:p>
    <w:p w14:paraId="51CA687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D1636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45. stavku (3) iza riječi: “navedena područja”, dodaje se: “</w:t>
      </w:r>
      <w:r w:rsidRPr="00E50D9C">
        <w:rPr>
          <w:rFonts w:ascii="Times New Roman" w:eastAsia="Times New Roman" w:hAnsi="Times New Roman" w:cs="Times New Roman"/>
          <w:lang w:eastAsia="hr-HR"/>
        </w:rPr>
        <w:t>Iznimno, udaljenosti tovilišta, stočnih farmi i peradarnika,navedene stavkom (3), od građevinskog područja naselja koje se sastoji do 3 kuće, ili od usamljene izgrađene građevne parcele koje imaju legalitet, mogu biti i manje ukoliko su tome suglasni vlasnici građevina navedenih parcela, pod uvjetom da je udaljenost propisna od drugih građevinskih područja.“</w:t>
      </w:r>
    </w:p>
    <w:p w14:paraId="382F2EF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Tablica za vrste stoke i peradi mijenja se i glasi: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2057"/>
        <w:gridCol w:w="1622"/>
      </w:tblGrid>
      <w:tr w:rsidR="00E50D9C" w:rsidRPr="00E50D9C" w14:paraId="31B39981" w14:textId="77777777" w:rsidTr="00E72C92">
        <w:trPr>
          <w:trHeight w:val="263"/>
        </w:trPr>
        <w:tc>
          <w:tcPr>
            <w:tcW w:w="4182" w:type="dxa"/>
          </w:tcPr>
          <w:p w14:paraId="0528F27A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Vrsta stoke</w:t>
            </w:r>
          </w:p>
        </w:tc>
        <w:tc>
          <w:tcPr>
            <w:tcW w:w="1567" w:type="dxa"/>
          </w:tcPr>
          <w:p w14:paraId="0EEAEFC4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Koeficijent </w:t>
            </w:r>
          </w:p>
        </w:tc>
        <w:tc>
          <w:tcPr>
            <w:tcW w:w="1622" w:type="dxa"/>
          </w:tcPr>
          <w:p w14:paraId="65FCE394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Broj  grla </w:t>
            </w:r>
          </w:p>
        </w:tc>
      </w:tr>
      <w:tr w:rsidR="00E50D9C" w:rsidRPr="00E50D9C" w14:paraId="603D0DB6" w14:textId="77777777" w:rsidTr="00E72C92">
        <w:trPr>
          <w:trHeight w:val="263"/>
        </w:trPr>
        <w:tc>
          <w:tcPr>
            <w:tcW w:w="4182" w:type="dxa"/>
          </w:tcPr>
          <w:p w14:paraId="5214C38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odrasla goveda starija od 24 mjeseca </w:t>
            </w:r>
          </w:p>
        </w:tc>
        <w:tc>
          <w:tcPr>
            <w:tcW w:w="1567" w:type="dxa"/>
          </w:tcPr>
          <w:p w14:paraId="019EE25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1,00 </w:t>
            </w:r>
          </w:p>
        </w:tc>
        <w:tc>
          <w:tcPr>
            <w:tcW w:w="1622" w:type="dxa"/>
          </w:tcPr>
          <w:p w14:paraId="475D456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10 </w:t>
            </w:r>
          </w:p>
        </w:tc>
      </w:tr>
      <w:tr w:rsidR="00E50D9C" w:rsidRPr="00E50D9C" w14:paraId="0E855C5A" w14:textId="77777777" w:rsidTr="00E72C92">
        <w:trPr>
          <w:trHeight w:val="263"/>
        </w:trPr>
        <w:tc>
          <w:tcPr>
            <w:tcW w:w="4182" w:type="dxa"/>
          </w:tcPr>
          <w:p w14:paraId="2143DD61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goveda starosti 12 – 24 mjeseca</w:t>
            </w:r>
          </w:p>
        </w:tc>
        <w:tc>
          <w:tcPr>
            <w:tcW w:w="1567" w:type="dxa"/>
          </w:tcPr>
          <w:p w14:paraId="4390990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0,6</w:t>
            </w:r>
          </w:p>
        </w:tc>
        <w:tc>
          <w:tcPr>
            <w:tcW w:w="1622" w:type="dxa"/>
          </w:tcPr>
          <w:p w14:paraId="1D4C2DCA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17</w:t>
            </w:r>
          </w:p>
        </w:tc>
      </w:tr>
      <w:tr w:rsidR="00E50D9C" w:rsidRPr="00E50D9C" w14:paraId="08916EF8" w14:textId="77777777" w:rsidTr="00E72C92">
        <w:trPr>
          <w:trHeight w:val="263"/>
        </w:trPr>
        <w:tc>
          <w:tcPr>
            <w:tcW w:w="4182" w:type="dxa"/>
          </w:tcPr>
          <w:p w14:paraId="2D34A47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goveda starosti 6 – 12 mjeseci</w:t>
            </w:r>
          </w:p>
        </w:tc>
        <w:tc>
          <w:tcPr>
            <w:tcW w:w="1567" w:type="dxa"/>
          </w:tcPr>
          <w:p w14:paraId="5797274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0,3</w:t>
            </w:r>
          </w:p>
        </w:tc>
        <w:tc>
          <w:tcPr>
            <w:tcW w:w="1622" w:type="dxa"/>
          </w:tcPr>
          <w:p w14:paraId="5CCB9148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35</w:t>
            </w:r>
          </w:p>
        </w:tc>
      </w:tr>
      <w:tr w:rsidR="00E50D9C" w:rsidRPr="00E50D9C" w14:paraId="793E8B7A" w14:textId="77777777" w:rsidTr="00E72C92">
        <w:trPr>
          <w:trHeight w:val="263"/>
        </w:trPr>
        <w:tc>
          <w:tcPr>
            <w:tcW w:w="4182" w:type="dxa"/>
          </w:tcPr>
          <w:p w14:paraId="4E5AE494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bikovi</w:t>
            </w:r>
          </w:p>
        </w:tc>
        <w:tc>
          <w:tcPr>
            <w:tcW w:w="1567" w:type="dxa"/>
          </w:tcPr>
          <w:p w14:paraId="0FFFDC5B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1,4</w:t>
            </w:r>
          </w:p>
        </w:tc>
        <w:tc>
          <w:tcPr>
            <w:tcW w:w="1622" w:type="dxa"/>
          </w:tcPr>
          <w:p w14:paraId="65B559A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7</w:t>
            </w:r>
          </w:p>
        </w:tc>
      </w:tr>
      <w:tr w:rsidR="00E50D9C" w:rsidRPr="00E50D9C" w14:paraId="65239F94" w14:textId="77777777" w:rsidTr="00E72C92">
        <w:trPr>
          <w:trHeight w:val="263"/>
        </w:trPr>
        <w:tc>
          <w:tcPr>
            <w:tcW w:w="4182" w:type="dxa"/>
          </w:tcPr>
          <w:p w14:paraId="6F79BFA7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telad</w:t>
            </w:r>
          </w:p>
        </w:tc>
        <w:tc>
          <w:tcPr>
            <w:tcW w:w="1567" w:type="dxa"/>
          </w:tcPr>
          <w:p w14:paraId="2CBA5F1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0,15</w:t>
            </w:r>
          </w:p>
        </w:tc>
        <w:tc>
          <w:tcPr>
            <w:tcW w:w="1622" w:type="dxa"/>
          </w:tcPr>
          <w:p w14:paraId="04DE746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65</w:t>
            </w:r>
          </w:p>
        </w:tc>
      </w:tr>
      <w:tr w:rsidR="00E50D9C" w:rsidRPr="00E50D9C" w14:paraId="41A1BBB0" w14:textId="77777777" w:rsidTr="00E72C92">
        <w:trPr>
          <w:trHeight w:val="263"/>
        </w:trPr>
        <w:tc>
          <w:tcPr>
            <w:tcW w:w="4182" w:type="dxa"/>
          </w:tcPr>
          <w:p w14:paraId="22ADD1A6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konji</w:t>
            </w:r>
          </w:p>
        </w:tc>
        <w:tc>
          <w:tcPr>
            <w:tcW w:w="1567" w:type="dxa"/>
          </w:tcPr>
          <w:p w14:paraId="0150A1D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1,2</w:t>
            </w:r>
          </w:p>
        </w:tc>
        <w:tc>
          <w:tcPr>
            <w:tcW w:w="1622" w:type="dxa"/>
          </w:tcPr>
          <w:p w14:paraId="0D5CF14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8</w:t>
            </w:r>
          </w:p>
        </w:tc>
      </w:tr>
      <w:tr w:rsidR="00E50D9C" w:rsidRPr="00E50D9C" w14:paraId="755E6BF6" w14:textId="77777777" w:rsidTr="00E72C92">
        <w:trPr>
          <w:trHeight w:val="263"/>
        </w:trPr>
        <w:tc>
          <w:tcPr>
            <w:tcW w:w="4182" w:type="dxa"/>
          </w:tcPr>
          <w:p w14:paraId="74AA346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ždrebad</w:t>
            </w:r>
          </w:p>
        </w:tc>
        <w:tc>
          <w:tcPr>
            <w:tcW w:w="1567" w:type="dxa"/>
          </w:tcPr>
          <w:p w14:paraId="40AA27E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0,5 </w:t>
            </w:r>
          </w:p>
        </w:tc>
        <w:tc>
          <w:tcPr>
            <w:tcW w:w="1622" w:type="dxa"/>
          </w:tcPr>
          <w:p w14:paraId="5AC93E0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7 </w:t>
            </w:r>
          </w:p>
        </w:tc>
      </w:tr>
      <w:tr w:rsidR="00E50D9C" w:rsidRPr="00E50D9C" w14:paraId="34D1423E" w14:textId="77777777" w:rsidTr="00E72C92">
        <w:trPr>
          <w:trHeight w:val="263"/>
        </w:trPr>
        <w:tc>
          <w:tcPr>
            <w:tcW w:w="4182" w:type="dxa"/>
          </w:tcPr>
          <w:p w14:paraId="4260A425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vol </w:t>
            </w:r>
          </w:p>
        </w:tc>
        <w:tc>
          <w:tcPr>
            <w:tcW w:w="1567" w:type="dxa"/>
          </w:tcPr>
          <w:p w14:paraId="1085E8F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1,2 </w:t>
            </w:r>
          </w:p>
        </w:tc>
        <w:tc>
          <w:tcPr>
            <w:tcW w:w="1622" w:type="dxa"/>
          </w:tcPr>
          <w:p w14:paraId="7C466D0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8 </w:t>
            </w:r>
          </w:p>
        </w:tc>
      </w:tr>
      <w:tr w:rsidR="00E50D9C" w:rsidRPr="00E50D9C" w14:paraId="397B8EE2" w14:textId="77777777" w:rsidTr="00E72C92">
        <w:trPr>
          <w:trHeight w:val="263"/>
        </w:trPr>
        <w:tc>
          <w:tcPr>
            <w:tcW w:w="4182" w:type="dxa"/>
          </w:tcPr>
          <w:p w14:paraId="5AE70DE0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ovce i koze</w:t>
            </w:r>
          </w:p>
        </w:tc>
        <w:tc>
          <w:tcPr>
            <w:tcW w:w="1567" w:type="dxa"/>
          </w:tcPr>
          <w:p w14:paraId="6D0C43E8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</w:t>
            </w:r>
          </w:p>
        </w:tc>
        <w:tc>
          <w:tcPr>
            <w:tcW w:w="1622" w:type="dxa"/>
          </w:tcPr>
          <w:p w14:paraId="0A960CF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100</w:t>
            </w:r>
          </w:p>
        </w:tc>
      </w:tr>
      <w:tr w:rsidR="00E50D9C" w:rsidRPr="00E50D9C" w14:paraId="39EC9A52" w14:textId="77777777" w:rsidTr="00E72C92">
        <w:trPr>
          <w:trHeight w:val="263"/>
        </w:trPr>
        <w:tc>
          <w:tcPr>
            <w:tcW w:w="4182" w:type="dxa"/>
          </w:tcPr>
          <w:p w14:paraId="54254E50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janjad, jarad</w:t>
            </w:r>
          </w:p>
        </w:tc>
        <w:tc>
          <w:tcPr>
            <w:tcW w:w="1567" w:type="dxa"/>
          </w:tcPr>
          <w:p w14:paraId="363A479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0,05</w:t>
            </w:r>
          </w:p>
        </w:tc>
        <w:tc>
          <w:tcPr>
            <w:tcW w:w="1622" w:type="dxa"/>
          </w:tcPr>
          <w:p w14:paraId="74D8BD8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200</w:t>
            </w:r>
          </w:p>
        </w:tc>
      </w:tr>
      <w:tr w:rsidR="00E50D9C" w:rsidRPr="00E50D9C" w14:paraId="5027A1FE" w14:textId="77777777" w:rsidTr="00E72C92">
        <w:trPr>
          <w:trHeight w:val="263"/>
        </w:trPr>
        <w:tc>
          <w:tcPr>
            <w:tcW w:w="4182" w:type="dxa"/>
          </w:tcPr>
          <w:p w14:paraId="44E91C5F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krmače</w:t>
            </w:r>
          </w:p>
        </w:tc>
        <w:tc>
          <w:tcPr>
            <w:tcW w:w="1567" w:type="dxa"/>
          </w:tcPr>
          <w:p w14:paraId="3DF2478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0,3</w:t>
            </w:r>
          </w:p>
        </w:tc>
        <w:tc>
          <w:tcPr>
            <w:tcW w:w="1622" w:type="dxa"/>
          </w:tcPr>
          <w:p w14:paraId="12AE9F7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35</w:t>
            </w:r>
          </w:p>
        </w:tc>
      </w:tr>
      <w:tr w:rsidR="00E50D9C" w:rsidRPr="00E50D9C" w14:paraId="6BBE6DB1" w14:textId="77777777" w:rsidTr="00E72C92">
        <w:trPr>
          <w:trHeight w:val="263"/>
        </w:trPr>
        <w:tc>
          <w:tcPr>
            <w:tcW w:w="4182" w:type="dxa"/>
          </w:tcPr>
          <w:p w14:paraId="1B7E755A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nerasti</w:t>
            </w:r>
          </w:p>
        </w:tc>
        <w:tc>
          <w:tcPr>
            <w:tcW w:w="1567" w:type="dxa"/>
          </w:tcPr>
          <w:p w14:paraId="5D68BCA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0,4</w:t>
            </w:r>
          </w:p>
        </w:tc>
        <w:tc>
          <w:tcPr>
            <w:tcW w:w="1622" w:type="dxa"/>
          </w:tcPr>
          <w:p w14:paraId="161982D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</w:t>
            </w:r>
          </w:p>
        </w:tc>
      </w:tr>
      <w:tr w:rsidR="00E50D9C" w:rsidRPr="00E50D9C" w14:paraId="74895710" w14:textId="77777777" w:rsidTr="00E72C92">
        <w:trPr>
          <w:trHeight w:val="263"/>
        </w:trPr>
        <w:tc>
          <w:tcPr>
            <w:tcW w:w="4182" w:type="dxa"/>
          </w:tcPr>
          <w:p w14:paraId="0383007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svinje u tovu od 25 – 110 kg</w:t>
            </w:r>
          </w:p>
        </w:tc>
        <w:tc>
          <w:tcPr>
            <w:tcW w:w="1567" w:type="dxa"/>
          </w:tcPr>
          <w:p w14:paraId="53B65F26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0,15</w:t>
            </w:r>
          </w:p>
        </w:tc>
        <w:tc>
          <w:tcPr>
            <w:tcW w:w="1622" w:type="dxa"/>
          </w:tcPr>
          <w:p w14:paraId="166D274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65</w:t>
            </w:r>
          </w:p>
        </w:tc>
      </w:tr>
      <w:tr w:rsidR="00E50D9C" w:rsidRPr="00E50D9C" w14:paraId="78327FC1" w14:textId="77777777" w:rsidTr="00E72C92">
        <w:trPr>
          <w:trHeight w:val="263"/>
        </w:trPr>
        <w:tc>
          <w:tcPr>
            <w:tcW w:w="4182" w:type="dxa"/>
          </w:tcPr>
          <w:p w14:paraId="53DDF374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odojci</w:t>
            </w:r>
          </w:p>
        </w:tc>
        <w:tc>
          <w:tcPr>
            <w:tcW w:w="1567" w:type="dxa"/>
          </w:tcPr>
          <w:p w14:paraId="04D17FB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0,02</w:t>
            </w:r>
          </w:p>
        </w:tc>
        <w:tc>
          <w:tcPr>
            <w:tcW w:w="1622" w:type="dxa"/>
          </w:tcPr>
          <w:p w14:paraId="741C2E8B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</w:t>
            </w:r>
          </w:p>
        </w:tc>
      </w:tr>
      <w:tr w:rsidR="00E50D9C" w:rsidRPr="00E50D9C" w14:paraId="391D760E" w14:textId="77777777" w:rsidTr="00E72C92">
        <w:trPr>
          <w:trHeight w:val="263"/>
        </w:trPr>
        <w:tc>
          <w:tcPr>
            <w:tcW w:w="4182" w:type="dxa"/>
          </w:tcPr>
          <w:p w14:paraId="445C19A8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kokoši nesilice</w:t>
            </w:r>
          </w:p>
        </w:tc>
        <w:tc>
          <w:tcPr>
            <w:tcW w:w="1567" w:type="dxa"/>
          </w:tcPr>
          <w:p w14:paraId="1C51165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0,004</w:t>
            </w:r>
          </w:p>
        </w:tc>
        <w:tc>
          <w:tcPr>
            <w:tcW w:w="1622" w:type="dxa"/>
          </w:tcPr>
          <w:p w14:paraId="6DD2554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2500</w:t>
            </w:r>
          </w:p>
        </w:tc>
      </w:tr>
      <w:tr w:rsidR="00E50D9C" w:rsidRPr="00E50D9C" w14:paraId="748BB5CB" w14:textId="77777777" w:rsidTr="00E72C92">
        <w:trPr>
          <w:trHeight w:val="263"/>
        </w:trPr>
        <w:tc>
          <w:tcPr>
            <w:tcW w:w="4182" w:type="dxa"/>
          </w:tcPr>
          <w:p w14:paraId="3A46D007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tovni pilići</w:t>
            </w:r>
          </w:p>
        </w:tc>
        <w:tc>
          <w:tcPr>
            <w:tcW w:w="1567" w:type="dxa"/>
          </w:tcPr>
          <w:p w14:paraId="49A7675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0,0025</w:t>
            </w:r>
          </w:p>
        </w:tc>
        <w:tc>
          <w:tcPr>
            <w:tcW w:w="1622" w:type="dxa"/>
          </w:tcPr>
          <w:p w14:paraId="3633994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4000</w:t>
            </w:r>
          </w:p>
        </w:tc>
      </w:tr>
      <w:tr w:rsidR="00E50D9C" w:rsidRPr="00E50D9C" w14:paraId="5142C2A9" w14:textId="77777777" w:rsidTr="00E72C92">
        <w:trPr>
          <w:trHeight w:val="263"/>
        </w:trPr>
        <w:tc>
          <w:tcPr>
            <w:tcW w:w="4182" w:type="dxa"/>
          </w:tcPr>
          <w:p w14:paraId="2ECA22C2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purani</w:t>
            </w:r>
          </w:p>
        </w:tc>
        <w:tc>
          <w:tcPr>
            <w:tcW w:w="1567" w:type="dxa"/>
          </w:tcPr>
          <w:p w14:paraId="1BA4499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0,02</w:t>
            </w:r>
          </w:p>
        </w:tc>
        <w:tc>
          <w:tcPr>
            <w:tcW w:w="1622" w:type="dxa"/>
          </w:tcPr>
          <w:p w14:paraId="08A8DD69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</w:t>
            </w:r>
          </w:p>
        </w:tc>
      </w:tr>
      <w:tr w:rsidR="00E50D9C" w:rsidRPr="00E50D9C" w14:paraId="13A5BD1B" w14:textId="77777777" w:rsidTr="00E72C92">
        <w:trPr>
          <w:trHeight w:val="263"/>
        </w:trPr>
        <w:tc>
          <w:tcPr>
            <w:tcW w:w="4182" w:type="dxa"/>
          </w:tcPr>
          <w:p w14:paraId="0932AC1C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kunići i pernata divljač</w:t>
            </w:r>
          </w:p>
        </w:tc>
        <w:tc>
          <w:tcPr>
            <w:tcW w:w="1567" w:type="dxa"/>
          </w:tcPr>
          <w:p w14:paraId="7801520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0,002</w:t>
            </w:r>
          </w:p>
        </w:tc>
        <w:tc>
          <w:tcPr>
            <w:tcW w:w="1622" w:type="dxa"/>
          </w:tcPr>
          <w:p w14:paraId="65B609E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5000</w:t>
            </w:r>
          </w:p>
        </w:tc>
      </w:tr>
      <w:tr w:rsidR="00E50D9C" w:rsidRPr="00E50D9C" w14:paraId="12F00012" w14:textId="77777777" w:rsidTr="00E72C92">
        <w:trPr>
          <w:trHeight w:val="263"/>
        </w:trPr>
        <w:tc>
          <w:tcPr>
            <w:tcW w:w="4182" w:type="dxa"/>
          </w:tcPr>
          <w:p w14:paraId="58546968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ostala perad</w:t>
            </w:r>
          </w:p>
        </w:tc>
        <w:tc>
          <w:tcPr>
            <w:tcW w:w="1567" w:type="dxa"/>
          </w:tcPr>
          <w:p w14:paraId="395CA841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0,004</w:t>
            </w:r>
          </w:p>
        </w:tc>
        <w:tc>
          <w:tcPr>
            <w:tcW w:w="1622" w:type="dxa"/>
          </w:tcPr>
          <w:p w14:paraId="32AF878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2500</w:t>
            </w:r>
          </w:p>
        </w:tc>
      </w:tr>
      <w:tr w:rsidR="00E50D9C" w:rsidRPr="00E50D9C" w14:paraId="48B2082F" w14:textId="77777777" w:rsidTr="00E72C92">
        <w:trPr>
          <w:trHeight w:val="498"/>
        </w:trPr>
        <w:tc>
          <w:tcPr>
            <w:tcW w:w="7371" w:type="dxa"/>
            <w:gridSpan w:val="3"/>
          </w:tcPr>
          <w:p w14:paraId="1C3F6FD5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lastRenderedPageBreak/>
              <w:t xml:space="preserve">za druge životinjske vrste (krznaši, i sl.) minimalni broj uvjetnih grla utvrđuje se Programom o namjeravanim ulaganjima </w:t>
            </w:r>
          </w:p>
        </w:tc>
      </w:tr>
    </w:tbl>
    <w:p w14:paraId="70F0C9B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6076643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8F06961" w14:textId="77777777" w:rsidR="00E50D9C" w:rsidRPr="00E50D9C" w:rsidRDefault="00E50D9C" w:rsidP="00E50D9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49.  stavku (1) dodaju se oznake:</w:t>
      </w:r>
    </w:p>
    <w:p w14:paraId="7A077352" w14:textId="77777777" w:rsidR="00E50D9C" w:rsidRPr="00E50D9C" w:rsidRDefault="00E50D9C" w:rsidP="00E50D9C">
      <w:pPr>
        <w:numPr>
          <w:ilvl w:val="0"/>
          <w:numId w:val="18"/>
        </w:numPr>
        <w:tabs>
          <w:tab w:val="clear" w:pos="360"/>
          <w:tab w:val="num" w:pos="709"/>
        </w:tabs>
        <w:spacing w:before="40" w:after="0" w:line="240" w:lineRule="auto"/>
        <w:ind w:left="113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proizvodnih namjena</w:t>
      </w:r>
    </w:p>
    <w:p w14:paraId="0ADFFCC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industrijskih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I1</w:t>
      </w:r>
    </w:p>
    <w:p w14:paraId="4DF094F0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zanatskih sadržaja,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I2</w:t>
      </w:r>
    </w:p>
    <w:p w14:paraId="218E9BB3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poslovnih namjena</w:t>
      </w:r>
    </w:p>
    <w:p w14:paraId="76F7D3B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trgovačkih i skladišnih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(K2, K3)</w:t>
      </w:r>
    </w:p>
    <w:p w14:paraId="1C818AA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komunalno-servisnih i uslužnih sadržaja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(K3)</w:t>
      </w:r>
    </w:p>
    <w:p w14:paraId="30B07EEF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iskorištavanje mineralnih sirovina</w:t>
      </w:r>
    </w:p>
    <w:p w14:paraId="7E0269FE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kamenolomi (postojeći)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E3</w:t>
      </w:r>
    </w:p>
    <w:p w14:paraId="3DA926F1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športsko-rekreacijska namjena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(R)</w:t>
      </w:r>
    </w:p>
    <w:p w14:paraId="1D47B429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športski, rekreacijski, društveno zabavni i turistički sadržaji,</w:t>
      </w:r>
    </w:p>
    <w:p w14:paraId="62D73CBE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e)  ugostiteljsko-turističke namjene.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(T)</w:t>
      </w:r>
    </w:p>
    <w:p w14:paraId="76423989" w14:textId="77777777" w:rsidR="00E50D9C" w:rsidRPr="00E50D9C" w:rsidRDefault="00E50D9C" w:rsidP="00E50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(2), iza oznake d), riječi: „koja se nalaze unutar granica zahvata UPU Z i UPU DB“ zamjenjuju se riječima: „ te u građevinskom području naselja Zlatar“.</w:t>
      </w:r>
    </w:p>
    <w:p w14:paraId="65A627EA" w14:textId="77777777" w:rsidR="00E50D9C" w:rsidRPr="00E50D9C" w:rsidRDefault="00E50D9C" w:rsidP="00E50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(3) briše se riječi: „ i UPU DB“ te „izvan zahvata UPU Z“</w:t>
      </w:r>
    </w:p>
    <w:p w14:paraId="3256329F" w14:textId="77777777" w:rsidR="00E50D9C" w:rsidRPr="00E50D9C" w:rsidRDefault="00E50D9C" w:rsidP="00E50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(4), oznaka „4.A.“, mijenja se u „4.2.“</w:t>
      </w:r>
    </w:p>
    <w:p w14:paraId="2FE0C5D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D12BF4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49.b. stavku (1) iza riječi: “turističkih naselja”, dodaje se:”</w:t>
      </w:r>
      <w:r w:rsidRPr="00E50D9C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 </w:t>
      </w:r>
      <w:r w:rsidRPr="00E50D9C">
        <w:rPr>
          <w:rFonts w:ascii="Times New Roman" w:eastAsia="Times New Roman" w:hAnsi="Times New Roman" w:cs="Times New Roman"/>
          <w:lang w:eastAsia="hr-HR"/>
        </w:rPr>
        <w:t>a u zoni T4 samo etno turističkih naselja“</w:t>
      </w:r>
    </w:p>
    <w:p w14:paraId="33407EB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(5), riječi: „u stanu do najviše 100 m</w:t>
      </w:r>
      <w:r w:rsidRPr="00E50D9C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50D9C">
        <w:rPr>
          <w:rFonts w:ascii="Times New Roman" w:eastAsia="Times New Roman" w:hAnsi="Times New Roman" w:cs="Times New Roman"/>
          <w:lang w:eastAsia="hr-HR"/>
        </w:rPr>
        <w:t>“ – brišu se.</w:t>
      </w:r>
    </w:p>
    <w:p w14:paraId="4C49818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AFBE6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63 mijenjaju se tablice razvrstanih javnih cesta:</w:t>
      </w:r>
    </w:p>
    <w:p w14:paraId="6CD8B5BF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Državne ceste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1D8CBE34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50C151AD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23674C4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4CE58E3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Duljina kolnika (km)</w:t>
            </w:r>
          </w:p>
        </w:tc>
      </w:tr>
      <w:tr w:rsidR="00E50D9C" w:rsidRPr="00E50D9C" w14:paraId="44C54ACD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3B69808C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5975426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0281C84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47EC471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4E70499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</w:tr>
      <w:tr w:rsidR="00E50D9C" w:rsidRPr="00E50D9C" w14:paraId="69628B2C" w14:textId="77777777" w:rsidTr="00E72C92">
        <w:trPr>
          <w:cantSplit/>
        </w:trPr>
        <w:tc>
          <w:tcPr>
            <w:tcW w:w="1384" w:type="dxa"/>
            <w:vAlign w:val="center"/>
          </w:tcPr>
          <w:p w14:paraId="5FD385D8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DC 29</w:t>
            </w:r>
          </w:p>
        </w:tc>
        <w:tc>
          <w:tcPr>
            <w:tcW w:w="3260" w:type="dxa"/>
            <w:vAlign w:val="center"/>
          </w:tcPr>
          <w:p w14:paraId="50C2947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Golubovec (D35) – Zlatar – Marija Bistrica – Soblinec (D3)</w:t>
            </w:r>
          </w:p>
        </w:tc>
        <w:tc>
          <w:tcPr>
            <w:tcW w:w="1547" w:type="dxa"/>
            <w:vAlign w:val="center"/>
          </w:tcPr>
          <w:p w14:paraId="53C6BA1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  <w:tc>
          <w:tcPr>
            <w:tcW w:w="1547" w:type="dxa"/>
            <w:vAlign w:val="center"/>
          </w:tcPr>
          <w:p w14:paraId="09DE509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30C7505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</w:tr>
      <w:tr w:rsidR="00E50D9C" w:rsidRPr="00E50D9C" w14:paraId="76354B16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0482083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0B8177F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  <w:tc>
          <w:tcPr>
            <w:tcW w:w="1547" w:type="dxa"/>
            <w:vAlign w:val="center"/>
          </w:tcPr>
          <w:p w14:paraId="00E4776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57C686F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</w:tr>
    </w:tbl>
    <w:p w14:paraId="758E729D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Županijske ceste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1676B974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74CFF95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699CF4F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456D8AE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kolnika (km)</w:t>
            </w:r>
          </w:p>
        </w:tc>
      </w:tr>
      <w:tr w:rsidR="00E50D9C" w:rsidRPr="00E50D9C" w14:paraId="13692D9B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63B5627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408E77F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349C522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6C08C12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26E7530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</w:tr>
      <w:tr w:rsidR="00E50D9C" w:rsidRPr="00E50D9C" w14:paraId="34BC992E" w14:textId="77777777" w:rsidTr="00E72C92">
        <w:trPr>
          <w:cantSplit/>
        </w:trPr>
        <w:tc>
          <w:tcPr>
            <w:tcW w:w="1384" w:type="dxa"/>
            <w:vAlign w:val="center"/>
          </w:tcPr>
          <w:p w14:paraId="450742A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2128</w:t>
            </w:r>
          </w:p>
        </w:tc>
        <w:tc>
          <w:tcPr>
            <w:tcW w:w="3260" w:type="dxa"/>
            <w:vAlign w:val="center"/>
          </w:tcPr>
          <w:p w14:paraId="429545C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Petrova Gora (D29) – Lobor – Zlatar (D29)</w:t>
            </w:r>
          </w:p>
        </w:tc>
        <w:tc>
          <w:tcPr>
            <w:tcW w:w="1547" w:type="dxa"/>
            <w:vAlign w:val="center"/>
          </w:tcPr>
          <w:p w14:paraId="73A3C5B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1,32 </w:t>
            </w:r>
          </w:p>
        </w:tc>
        <w:tc>
          <w:tcPr>
            <w:tcW w:w="1547" w:type="dxa"/>
            <w:vAlign w:val="center"/>
          </w:tcPr>
          <w:p w14:paraId="6CE46A5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11D1B29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1,32</w:t>
            </w:r>
          </w:p>
        </w:tc>
      </w:tr>
      <w:tr w:rsidR="00E50D9C" w:rsidRPr="00E50D9C" w14:paraId="2FA89E08" w14:textId="77777777" w:rsidTr="00E72C92">
        <w:trPr>
          <w:cantSplit/>
        </w:trPr>
        <w:tc>
          <w:tcPr>
            <w:tcW w:w="1384" w:type="dxa"/>
            <w:vAlign w:val="center"/>
          </w:tcPr>
          <w:p w14:paraId="424D432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74899146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2129</w:t>
            </w:r>
          </w:p>
        </w:tc>
        <w:tc>
          <w:tcPr>
            <w:tcW w:w="3260" w:type="dxa"/>
            <w:vAlign w:val="center"/>
          </w:tcPr>
          <w:p w14:paraId="2915963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Borkovec (Ž2169) – Martinšćina – Gornja Batina (Ž2169)</w:t>
            </w:r>
          </w:p>
        </w:tc>
        <w:tc>
          <w:tcPr>
            <w:tcW w:w="1547" w:type="dxa"/>
            <w:vAlign w:val="center"/>
          </w:tcPr>
          <w:p w14:paraId="3C30A98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6,61</w:t>
            </w:r>
          </w:p>
        </w:tc>
        <w:tc>
          <w:tcPr>
            <w:tcW w:w="1547" w:type="dxa"/>
            <w:vAlign w:val="center"/>
          </w:tcPr>
          <w:p w14:paraId="31E468F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229B020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6,61</w:t>
            </w:r>
          </w:p>
        </w:tc>
      </w:tr>
      <w:tr w:rsidR="00E50D9C" w:rsidRPr="00E50D9C" w14:paraId="546D8D86" w14:textId="77777777" w:rsidTr="00E72C92">
        <w:trPr>
          <w:cantSplit/>
        </w:trPr>
        <w:tc>
          <w:tcPr>
            <w:tcW w:w="1384" w:type="dxa"/>
            <w:vAlign w:val="center"/>
          </w:tcPr>
          <w:p w14:paraId="72C35F3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74899386"/>
            <w:bookmarkEnd w:id="2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2169</w:t>
            </w:r>
            <w:bookmarkEnd w:id="3"/>
          </w:p>
        </w:tc>
        <w:tc>
          <w:tcPr>
            <w:tcW w:w="3260" w:type="dxa"/>
            <w:vAlign w:val="center"/>
          </w:tcPr>
          <w:p w14:paraId="4C279CD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4" w:name="_Hlk74899399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 (D29) – Gornja Batina – Budinšćina (D24)</w:t>
            </w:r>
            <w:bookmarkEnd w:id="4"/>
          </w:p>
        </w:tc>
        <w:tc>
          <w:tcPr>
            <w:tcW w:w="1547" w:type="dxa"/>
            <w:vAlign w:val="center"/>
          </w:tcPr>
          <w:p w14:paraId="26B7B27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12,87</w:t>
            </w:r>
          </w:p>
        </w:tc>
        <w:tc>
          <w:tcPr>
            <w:tcW w:w="1547" w:type="dxa"/>
            <w:vAlign w:val="center"/>
          </w:tcPr>
          <w:p w14:paraId="7045CC4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0BAAC3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12,87</w:t>
            </w:r>
          </w:p>
        </w:tc>
      </w:tr>
      <w:tr w:rsidR="00E50D9C" w:rsidRPr="00E50D9C" w14:paraId="33EC0AC8" w14:textId="77777777" w:rsidTr="00E72C92">
        <w:trPr>
          <w:cantSplit/>
        </w:trPr>
        <w:tc>
          <w:tcPr>
            <w:tcW w:w="1384" w:type="dxa"/>
            <w:vAlign w:val="center"/>
          </w:tcPr>
          <w:p w14:paraId="09DB3BD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2170</w:t>
            </w:r>
          </w:p>
        </w:tc>
        <w:tc>
          <w:tcPr>
            <w:tcW w:w="3260" w:type="dxa"/>
            <w:vAlign w:val="center"/>
          </w:tcPr>
          <w:p w14:paraId="3A92E7F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Batina (Ž2169) – Bočadir (D24)</w:t>
            </w:r>
          </w:p>
        </w:tc>
        <w:tc>
          <w:tcPr>
            <w:tcW w:w="1547" w:type="dxa"/>
            <w:vAlign w:val="center"/>
          </w:tcPr>
          <w:p w14:paraId="30D8DDA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4,27</w:t>
            </w:r>
          </w:p>
        </w:tc>
        <w:tc>
          <w:tcPr>
            <w:tcW w:w="1547" w:type="dxa"/>
            <w:vAlign w:val="center"/>
          </w:tcPr>
          <w:p w14:paraId="0ABCD02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088A124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4,27</w:t>
            </w:r>
          </w:p>
        </w:tc>
      </w:tr>
      <w:tr w:rsidR="00E50D9C" w:rsidRPr="00E50D9C" w14:paraId="7914C443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01665E1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4F34847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25,07</w:t>
            </w:r>
          </w:p>
        </w:tc>
        <w:tc>
          <w:tcPr>
            <w:tcW w:w="1547" w:type="dxa"/>
            <w:vAlign w:val="center"/>
          </w:tcPr>
          <w:p w14:paraId="2CCB1A4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06BC18E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25,07</w:t>
            </w:r>
          </w:p>
        </w:tc>
      </w:tr>
    </w:tbl>
    <w:p w14:paraId="2CBA36D3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Lokalne ceste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07BA63FE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7ED6197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769CAC4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7389C79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kolnika (km)</w:t>
            </w:r>
          </w:p>
        </w:tc>
      </w:tr>
      <w:tr w:rsidR="00E50D9C" w:rsidRPr="00E50D9C" w14:paraId="11DE7020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149AB8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0E93AE1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528A098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149D9A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7D2BBC2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</w:tr>
      <w:tr w:rsidR="00E50D9C" w:rsidRPr="00E50D9C" w14:paraId="252C2792" w14:textId="77777777" w:rsidTr="00E72C92">
        <w:trPr>
          <w:cantSplit/>
        </w:trPr>
        <w:tc>
          <w:tcPr>
            <w:tcW w:w="1384" w:type="dxa"/>
            <w:vAlign w:val="center"/>
          </w:tcPr>
          <w:p w14:paraId="1D803F96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5" w:name="_Hlk74900164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22018</w:t>
            </w:r>
            <w:bookmarkEnd w:id="5"/>
          </w:p>
        </w:tc>
        <w:tc>
          <w:tcPr>
            <w:tcW w:w="3260" w:type="dxa"/>
            <w:vAlign w:val="center"/>
          </w:tcPr>
          <w:p w14:paraId="5C142DA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6" w:name="_Hlk74900506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Repno – Belec (L22019)</w:t>
            </w:r>
            <w:bookmarkEnd w:id="6"/>
          </w:p>
        </w:tc>
        <w:tc>
          <w:tcPr>
            <w:tcW w:w="1547" w:type="dxa"/>
            <w:vAlign w:val="center"/>
          </w:tcPr>
          <w:p w14:paraId="0D28BA3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1,51</w:t>
            </w:r>
          </w:p>
        </w:tc>
        <w:tc>
          <w:tcPr>
            <w:tcW w:w="1547" w:type="dxa"/>
            <w:vAlign w:val="center"/>
          </w:tcPr>
          <w:p w14:paraId="6E7D63B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5B674E1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1,51</w:t>
            </w:r>
          </w:p>
        </w:tc>
      </w:tr>
      <w:tr w:rsidR="00E50D9C" w:rsidRPr="00E50D9C" w14:paraId="29209210" w14:textId="77777777" w:rsidTr="00E72C92">
        <w:trPr>
          <w:cantSplit/>
        </w:trPr>
        <w:tc>
          <w:tcPr>
            <w:tcW w:w="1384" w:type="dxa"/>
            <w:vAlign w:val="center"/>
          </w:tcPr>
          <w:p w14:paraId="29F6C3A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7" w:name="_Hlk74900541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22019</w:t>
            </w:r>
            <w:bookmarkEnd w:id="7"/>
          </w:p>
        </w:tc>
        <w:tc>
          <w:tcPr>
            <w:tcW w:w="3260" w:type="dxa"/>
            <w:vAlign w:val="center"/>
          </w:tcPr>
          <w:p w14:paraId="7ABC158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8" w:name="_Hlk74900553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Juranšćina – Belec (Ž2169)</w:t>
            </w:r>
            <w:bookmarkEnd w:id="8"/>
          </w:p>
        </w:tc>
        <w:tc>
          <w:tcPr>
            <w:tcW w:w="1547" w:type="dxa"/>
            <w:vAlign w:val="center"/>
          </w:tcPr>
          <w:p w14:paraId="1C921F8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1,53</w:t>
            </w:r>
          </w:p>
        </w:tc>
        <w:tc>
          <w:tcPr>
            <w:tcW w:w="1547" w:type="dxa"/>
            <w:vAlign w:val="center"/>
          </w:tcPr>
          <w:p w14:paraId="2CCF545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28E30AC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1,53</w:t>
            </w:r>
          </w:p>
        </w:tc>
      </w:tr>
      <w:tr w:rsidR="00E50D9C" w:rsidRPr="00E50D9C" w14:paraId="065219AA" w14:textId="77777777" w:rsidTr="00E72C92">
        <w:trPr>
          <w:cantSplit/>
        </w:trPr>
        <w:tc>
          <w:tcPr>
            <w:tcW w:w="1384" w:type="dxa"/>
            <w:vAlign w:val="center"/>
          </w:tcPr>
          <w:p w14:paraId="619044A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9" w:name="_Hlk74900688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22020</w:t>
            </w:r>
            <w:bookmarkEnd w:id="9"/>
          </w:p>
        </w:tc>
        <w:tc>
          <w:tcPr>
            <w:tcW w:w="3260" w:type="dxa"/>
            <w:vAlign w:val="center"/>
          </w:tcPr>
          <w:p w14:paraId="76A5C60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0" w:name="_Hlk74900702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Selnica-Belec (Ž2169)</w:t>
            </w:r>
            <w:bookmarkEnd w:id="10"/>
          </w:p>
        </w:tc>
        <w:tc>
          <w:tcPr>
            <w:tcW w:w="1547" w:type="dxa"/>
            <w:vAlign w:val="center"/>
          </w:tcPr>
          <w:p w14:paraId="50A9F55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</w:t>
            </w:r>
          </w:p>
        </w:tc>
        <w:tc>
          <w:tcPr>
            <w:tcW w:w="1547" w:type="dxa"/>
            <w:vAlign w:val="center"/>
          </w:tcPr>
          <w:p w14:paraId="2335266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91003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</w:t>
            </w:r>
          </w:p>
        </w:tc>
      </w:tr>
      <w:tr w:rsidR="00E50D9C" w:rsidRPr="00E50D9C" w14:paraId="6D0D30D3" w14:textId="77777777" w:rsidTr="00E72C92">
        <w:trPr>
          <w:cantSplit/>
        </w:trPr>
        <w:tc>
          <w:tcPr>
            <w:tcW w:w="1384" w:type="dxa"/>
            <w:vAlign w:val="center"/>
          </w:tcPr>
          <w:p w14:paraId="16AF3F9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1" w:name="_Hlk7490080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22021</w:t>
            </w:r>
            <w:bookmarkEnd w:id="11"/>
          </w:p>
        </w:tc>
        <w:tc>
          <w:tcPr>
            <w:tcW w:w="3260" w:type="dxa"/>
            <w:vAlign w:val="center"/>
          </w:tcPr>
          <w:p w14:paraId="5C282DF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2" w:name="_Hlk74900820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Završje Belečko (Ž2169) – Gornja Konjščina (L22022)</w:t>
            </w:r>
            <w:bookmarkEnd w:id="12"/>
          </w:p>
        </w:tc>
        <w:tc>
          <w:tcPr>
            <w:tcW w:w="1547" w:type="dxa"/>
            <w:vAlign w:val="center"/>
          </w:tcPr>
          <w:p w14:paraId="0C795FD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5,37</w:t>
            </w:r>
          </w:p>
        </w:tc>
        <w:tc>
          <w:tcPr>
            <w:tcW w:w="1547" w:type="dxa"/>
            <w:vAlign w:val="center"/>
          </w:tcPr>
          <w:p w14:paraId="275D6FA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69213C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5,37</w:t>
            </w:r>
          </w:p>
        </w:tc>
      </w:tr>
      <w:tr w:rsidR="00E50D9C" w:rsidRPr="00E50D9C" w14:paraId="2544EAA8" w14:textId="77777777" w:rsidTr="00E72C92">
        <w:trPr>
          <w:cantSplit/>
        </w:trPr>
        <w:tc>
          <w:tcPr>
            <w:tcW w:w="1384" w:type="dxa"/>
            <w:vAlign w:val="center"/>
          </w:tcPr>
          <w:p w14:paraId="2E16FAB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3" w:name="_Hlk74903561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22052</w:t>
            </w:r>
            <w:bookmarkEnd w:id="13"/>
          </w:p>
        </w:tc>
        <w:tc>
          <w:tcPr>
            <w:tcW w:w="3260" w:type="dxa"/>
            <w:vAlign w:val="center"/>
          </w:tcPr>
          <w:p w14:paraId="429C7C2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4" w:name="_Hlk7490357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 (Ž2169) – Donja Batina (Ž2170)</w:t>
            </w:r>
            <w:bookmarkEnd w:id="14"/>
          </w:p>
        </w:tc>
        <w:tc>
          <w:tcPr>
            <w:tcW w:w="1547" w:type="dxa"/>
            <w:vAlign w:val="center"/>
          </w:tcPr>
          <w:p w14:paraId="085460F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4,08</w:t>
            </w:r>
          </w:p>
        </w:tc>
        <w:tc>
          <w:tcPr>
            <w:tcW w:w="1547" w:type="dxa"/>
            <w:vAlign w:val="center"/>
          </w:tcPr>
          <w:p w14:paraId="28192B1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6897DEA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4,08</w:t>
            </w:r>
          </w:p>
        </w:tc>
      </w:tr>
      <w:tr w:rsidR="00E50D9C" w:rsidRPr="00E50D9C" w14:paraId="3DD789D2" w14:textId="77777777" w:rsidTr="00E72C92">
        <w:trPr>
          <w:cantSplit/>
        </w:trPr>
        <w:tc>
          <w:tcPr>
            <w:tcW w:w="1384" w:type="dxa"/>
            <w:vAlign w:val="center"/>
          </w:tcPr>
          <w:p w14:paraId="5FEB07E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5" w:name="_Hlk74903620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22053</w:t>
            </w:r>
            <w:bookmarkEnd w:id="15"/>
          </w:p>
        </w:tc>
        <w:tc>
          <w:tcPr>
            <w:tcW w:w="3260" w:type="dxa"/>
            <w:vAlign w:val="center"/>
          </w:tcPr>
          <w:p w14:paraId="569AC65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6" w:name="_Hlk7490364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 (D29) – Lovrečan (Ž2264)</w:t>
            </w:r>
            <w:bookmarkEnd w:id="16"/>
          </w:p>
        </w:tc>
        <w:tc>
          <w:tcPr>
            <w:tcW w:w="1547" w:type="dxa"/>
            <w:vAlign w:val="center"/>
          </w:tcPr>
          <w:p w14:paraId="0AB8C66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3,21</w:t>
            </w:r>
          </w:p>
        </w:tc>
        <w:tc>
          <w:tcPr>
            <w:tcW w:w="1547" w:type="dxa"/>
            <w:vAlign w:val="center"/>
          </w:tcPr>
          <w:p w14:paraId="6D9F8D5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1CFD55F6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3,21</w:t>
            </w:r>
          </w:p>
        </w:tc>
      </w:tr>
      <w:tr w:rsidR="00E50D9C" w:rsidRPr="00E50D9C" w14:paraId="0E0E9C1D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10CF13C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7335C47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17,68</w:t>
            </w:r>
          </w:p>
        </w:tc>
        <w:tc>
          <w:tcPr>
            <w:tcW w:w="1547" w:type="dxa"/>
            <w:vAlign w:val="center"/>
          </w:tcPr>
          <w:p w14:paraId="70BF75B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7C135E1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17,68</w:t>
            </w:r>
          </w:p>
        </w:tc>
      </w:tr>
    </w:tbl>
    <w:p w14:paraId="6187B7B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2E9F9D4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C6196A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68. stavku (2), riječi: “</w:t>
      </w:r>
      <w:r w:rsidRPr="00E50D9C">
        <w:rPr>
          <w:rFonts w:ascii="Times New Roman" w:eastAsia="Times New Roman" w:hAnsi="Times New Roman" w:cs="Times New Roman"/>
          <w:lang w:eastAsia="hr-HR"/>
        </w:rPr>
        <w:t>člankom 55. Zakona o cestama“, zamjenjuju se riječima: „zakonskim propisima“.</w:t>
      </w:r>
    </w:p>
    <w:p w14:paraId="06DDEAD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stavku (3), zagrada: </w:t>
      </w:r>
      <w:r w:rsidRPr="00E50D9C">
        <w:rPr>
          <w:rFonts w:ascii="Times New Roman" w:eastAsia="Times New Roman" w:hAnsi="Times New Roman" w:cs="Times New Roman"/>
          <w:lang w:eastAsia="hr-HR"/>
        </w:rPr>
        <w:t>(NN 84/11, 22/13, 54/13 I 148/13) – briše se.</w:t>
      </w:r>
    </w:p>
    <w:p w14:paraId="0A8760A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694782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69. stavku (1) podstavku 1. riječi: “</w:t>
      </w:r>
      <w:r w:rsidRPr="00E50D9C">
        <w:rPr>
          <w:rFonts w:ascii="Times New Roman" w:eastAsia="Times New Roman" w:hAnsi="Times New Roman" w:cs="Times New Roman"/>
          <w:lang w:eastAsia="hr-HR"/>
        </w:rPr>
        <w:t>i UPU Belec“ – brišu se.</w:t>
      </w:r>
    </w:p>
    <w:p w14:paraId="08D26FE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podstavku 2. iza riječi: “građevina”, dodaje se:”</w:t>
      </w:r>
      <w:r w:rsidRPr="00E50D9C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 </w:t>
      </w:r>
      <w:r w:rsidRPr="00E50D9C">
        <w:rPr>
          <w:rFonts w:ascii="Times New Roman" w:eastAsia="Times New Roman" w:hAnsi="Times New Roman" w:cs="Times New Roman"/>
          <w:lang w:eastAsia="hr-HR"/>
        </w:rPr>
        <w:t>te prema stavku (3)“</w:t>
      </w:r>
    </w:p>
    <w:p w14:paraId="0C1C7EF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Stavak (2) mijenja se i glasi: </w:t>
      </w:r>
    </w:p>
    <w:p w14:paraId="3C3F6F1F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„Parkirališta i pristupni putevi za groblja, rješavat će se unutar označenih zona groblja, ili prema stavku (3).“</w:t>
      </w:r>
    </w:p>
    <w:p w14:paraId="6896C43D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stavak (3):</w:t>
      </w:r>
    </w:p>
    <w:p w14:paraId="7AF3390A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(3) Parkiralište se može nalaziti i na susjednoj čestici ili čestici u neposrednoj blizini, a moguće je predvidjeti osigurana mjesta na javnim ili privatnim parkirnim površinama ili garažama, uz suglasnost vlasnika istih.</w:t>
      </w:r>
    </w:p>
    <w:p w14:paraId="5FE02F83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68BB09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70. mijenja se i glasi:</w:t>
      </w:r>
    </w:p>
    <w:p w14:paraId="2802A8A9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1) Unutar naselja Zlatara moguća je izgradnja podzemnih garaža, javnih, privatnih ili u sklopu višestambene građevine. Izgradnja podzemnih garaža moguća je i u zonama T, R, I i K.</w:t>
      </w:r>
    </w:p>
    <w:p w14:paraId="090D3563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Garaže se mogu graditi prema navedenim uvjetima:</w:t>
      </w:r>
    </w:p>
    <w:p w14:paraId="5AC5D035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može se graditi kao samostojeća građevina ili u sklopu građevina druge namjene (poslovne, javne i društvene i drugo)</w:t>
      </w:r>
    </w:p>
    <w:p w14:paraId="71D178C3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visina građevine je P+1, odnosno najviša visina vijenca iznosi 7 m, podzemne etaže nisu ograničene </w:t>
      </w:r>
    </w:p>
    <w:p w14:paraId="0C12C62E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koeficijent izgrađenosti za samostojeću građevinu iznosi najviše (kig) = 0,5</w:t>
      </w:r>
    </w:p>
    <w:p w14:paraId="47499792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udaljenost od susjednih građevina mora biti veća ili jednaka visini građevine garaže, ali ne manja od 5 m</w:t>
      </w:r>
    </w:p>
    <w:p w14:paraId="6D48931A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ukoliko se javna garaža gradi kao podzemna, ispod trgova i drugih javnih površina, nadzemni dijelovi (natkriveni pješački ulazi i izlazi, natkrivene ulazne i izlazne kolne rampe, postrojenja dizala i slično) mogu imati visinu najviše 6 m</w:t>
      </w:r>
    </w:p>
    <w:p w14:paraId="14404F3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ravni krov garaže može se koristiti kao parkiralište, može biti zeleni krov, terasa sa mogućnošću drugih sadržaja (ugostiteljstvo, igralište i slično), kosi krov može biti otvoren nad zadnjom etažom, a kod izvedbe na zadnjoj stropnoj ploči ne može se koristiti potkrovlje.</w:t>
      </w:r>
    </w:p>
    <w:p w14:paraId="022B09A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81E395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Članku 87. zagrade: </w:t>
      </w:r>
      <w:r w:rsidRPr="00E50D9C">
        <w:rPr>
          <w:rFonts w:ascii="Times New Roman" w:eastAsia="Times New Roman" w:hAnsi="Times New Roman" w:cs="Times New Roman"/>
          <w:lang w:eastAsia="hr-HR"/>
        </w:rPr>
        <w:t>(NN br. 70/05 i br.  139/08.), (NN br. 69/99, 151/03, 157/03, 87/09, 88/10.) – brišu se.</w:t>
      </w:r>
    </w:p>
    <w:p w14:paraId="4A8B7BA1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412AD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88. poglavlju 1. podstavku 1.1., dopunjuje se podnaslov “Povijesni sklopovi i građevine” i glasi:</w:t>
      </w:r>
    </w:p>
    <w:p w14:paraId="3BA9052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Povijesni sklopovi i građevine</w:t>
      </w:r>
    </w:p>
    <w:p w14:paraId="5E38290C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gradsko naselje (1)</w:t>
      </w:r>
    </w:p>
    <w:p w14:paraId="2B8B96D0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stambena građevina (1-6)</w:t>
      </w:r>
    </w:p>
    <w:p w14:paraId="25258128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sakralna građevina (1-5)</w:t>
      </w:r>
    </w:p>
    <w:p w14:paraId="2AD89BF9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javna građevina (1)</w:t>
      </w:r>
    </w:p>
    <w:p w14:paraId="52E45B06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srednjovjekovna utvrda (1-3)</w:t>
      </w:r>
    </w:p>
    <w:p w14:paraId="1D84DE8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naslovu </w:t>
      </w:r>
      <w:r w:rsidRPr="00E50D9C">
        <w:rPr>
          <w:rFonts w:ascii="Times New Roman" w:eastAsia="Times New Roman" w:hAnsi="Times New Roman" w:cs="Times New Roman"/>
          <w:lang w:eastAsia="hr-HR"/>
        </w:rPr>
        <w:t>EVIDENTIRANO - PRIJEDLOG ZA ZAŠTITU, podnaslovu „Povijesne graditeljske cjeline“, alineja: „gradsko naselje (1)“ te u podnaslovu „Povijesni sklopovi i građevine“, alineja:„srednjovjekovna utvrda (1-2)“ se brišu.</w:t>
      </w:r>
    </w:p>
    <w:p w14:paraId="0D59C9B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89C682B" w14:textId="77777777" w:rsidR="00E50D9C" w:rsidRPr="00E50D9C" w:rsidRDefault="00E50D9C" w:rsidP="00E50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Članku 90. stavku (1) podstavku „stambena građevina“, alineje: 1 dvor obitelji Kiš u Šćrbincu i 2 kompleks imanja obitelji Rauer u Zlataru – brišu se.</w:t>
      </w:r>
    </w:p>
    <w:p w14:paraId="335508AC" w14:textId="77777777" w:rsidR="00E50D9C" w:rsidRPr="00E50D9C" w:rsidRDefault="00E50D9C" w:rsidP="00E50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podstavku „sakralna građevina“, riječi pod 1: „crkva Gospe Snježne“ zamjenjuje se s: „župna crkva sv. Marije Snježne“; riječ pod 5: „Jakoba“ zamjenjuje se s „Jakova“.</w:t>
      </w:r>
    </w:p>
    <w:p w14:paraId="603A7A29" w14:textId="77777777" w:rsidR="00E50D9C" w:rsidRPr="00E50D9C" w:rsidRDefault="00E50D9C" w:rsidP="00E50D9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podstavak „srednjovjekovne utvrde“ mijenja se i glasi:</w:t>
      </w:r>
    </w:p>
    <w:p w14:paraId="3E6D6244" w14:textId="77777777" w:rsidR="00E50D9C" w:rsidRPr="00E50D9C" w:rsidRDefault="00E50D9C" w:rsidP="00E50D9C">
      <w:pPr>
        <w:numPr>
          <w:ilvl w:val="0"/>
          <w:numId w:val="21"/>
        </w:numPr>
        <w:spacing w:before="40"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srednjovjekovne utvrde</w:t>
      </w:r>
    </w:p>
    <w:p w14:paraId="055FAFB6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1 Belecgrad</w:t>
      </w:r>
    </w:p>
    <w:p w14:paraId="42E486E6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 Oštrc</w:t>
      </w:r>
    </w:p>
    <w:p w14:paraId="5417FEB8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3 „Židovina“</w:t>
      </w:r>
    </w:p>
    <w:p w14:paraId="3793B88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Podstavak „Povijesni sklop građevina“ – briše se.</w:t>
      </w:r>
    </w:p>
    <w:p w14:paraId="391AEB2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8BC4EBF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91. stavak (1) mijenja se i glasi:</w:t>
      </w:r>
    </w:p>
    <w:p w14:paraId="4B25E0D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 (1) Zaštićenim kulturnim dobrima smatraju se sve građevine koje su upisane u Registar kulturnih dobara RH – Listu zaštićenih kulturnih dobara (Z) odnosno listu preventivno zaštićenih dobara (P), kao i one koje se nalaze na području zaštićene kulturno-povijesne cjeline (E/Z).“</w:t>
      </w:r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72F375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Stavak (2) mijenja se i glasi:</w:t>
      </w:r>
    </w:p>
    <w:p w14:paraId="396B47B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“(2) </w:t>
      </w:r>
      <w:r w:rsidRPr="00E50D9C">
        <w:rPr>
          <w:rFonts w:ascii="Times New Roman" w:eastAsia="Times New Roman" w:hAnsi="Times New Roman" w:cs="Times New Roman"/>
          <w:lang w:eastAsia="hr-HR"/>
        </w:rPr>
        <w:t>Za izvođenje radova i zahvata na području Zakonom zaštićenih dijelova prirode te dijelova prirode zaštićenih prostornim planom, potrebno je slijediti mjere i smjernice zaštite temeljem ovih Odredbi.“</w:t>
      </w:r>
    </w:p>
    <w:p w14:paraId="63AB376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(3) dodaje se na kraju:</w:t>
      </w:r>
    </w:p>
    <w:p w14:paraId="3A7886C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„Za građevine koje se štite samo odredbama prostornog plana, upravni postupci nisu obvezatni, ali tijela lokalne uprave, zbog specifičnosti problematike, u provedbi plana ili drugih zakonskih akata mogu od nadležnog Konzervatorskog odjela zatražiti stručno mišljenje.“</w:t>
      </w:r>
    </w:p>
    <w:p w14:paraId="3CD6D0B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811C93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96. mijenja se i glasi:</w:t>
      </w:r>
    </w:p>
    <w:p w14:paraId="7D60D017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 Radi kontinuiteta poboljšanja ukupne kvalitete života na cijelom području Grada Zlatara, potrebno je primjenjivati odrednice Prostornog plana i ciljeve prostornog uređenja, a poglavito:</w:t>
      </w:r>
    </w:p>
    <w:p w14:paraId="061BFA65" w14:textId="77777777" w:rsidR="00E50D9C" w:rsidRPr="00E50D9C" w:rsidRDefault="00E50D9C" w:rsidP="00E50D9C">
      <w:pPr>
        <w:numPr>
          <w:ilvl w:val="0"/>
          <w:numId w:val="22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Zaštita i stalno unapređivanje kvalitete okoliša kao okvira za daljnji skladni prostorni razvitak kroz planiranje očuvanja i boljeg korištenja vrijednog poljoprivrednog zemljišta, šuma i vodotokova;</w:t>
      </w:r>
    </w:p>
    <w:p w14:paraId="7A61A7DD" w14:textId="77777777" w:rsidR="00E50D9C" w:rsidRPr="00E50D9C" w:rsidRDefault="00E50D9C" w:rsidP="00E50D9C">
      <w:pPr>
        <w:numPr>
          <w:ilvl w:val="0"/>
          <w:numId w:val="22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Razvijati takav gospodarski razvitak, koji je maksimalno prilagođen okolišu i koji će najbolje koristiti lokacijske prednosti,</w:t>
      </w:r>
    </w:p>
    <w:p w14:paraId="0F71CBD0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Osigurati postupno uređivanje prostora za razvitak pojedinih namjena;</w:t>
      </w:r>
    </w:p>
    <w:p w14:paraId="1BA4AE3A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Očuvanje i unapređenje načina korištenja prirodnih, krajobraznih i kulturnih vrijednosti, a posebno kulturne baštine, kao najvrjednijeg elementa identiteta;</w:t>
      </w:r>
    </w:p>
    <w:p w14:paraId="17BC9B60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Gospodarenje i korištenje vrijednog obradivog tla provoditi na temelju odredaba ovog Plana, Zakona o poljoprivrednom zemljištu i ostalih propisa u cilju očuvanja i unapređenja kvalitetnih poljoprivrednih zemljišta;</w:t>
      </w:r>
    </w:p>
    <w:p w14:paraId="39A15D1C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Provoditi sanaciju postojećih klizišta uz primjenu takovih mjera uređenja prostora, da se ne stvaraju nova klizišta;</w:t>
      </w:r>
    </w:p>
    <w:p w14:paraId="7E7DCD97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Isključiti od građenja terene, koji su podložni eroziji i klizanju – nestabilni tereni, na kojima se ne smiju mijenjati katastarske kulture, osim promjene u pošumljene površine i u livade.</w:t>
      </w:r>
    </w:p>
    <w:p w14:paraId="3B451291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Planirano izgrađivati i uređivati prometne površine u Zlataru,  radi primjerene postupne zaštite od buke i drugih utjecaja, sukladno povećanju opsega prometa;</w:t>
      </w:r>
    </w:p>
    <w:p w14:paraId="63E61020" w14:textId="77777777" w:rsidR="00E50D9C" w:rsidRPr="00E50D9C" w:rsidRDefault="00E50D9C" w:rsidP="00E50D9C">
      <w:pPr>
        <w:spacing w:after="0" w:line="240" w:lineRule="auto"/>
        <w:ind w:left="680"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Gospodarenje šumom i njena eksploatacija moraju biti takvi da se ne ugroze ljudi, vrijednosti krajobraza ili ekološka ravnoteža:</w:t>
      </w:r>
    </w:p>
    <w:p w14:paraId="0C059876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E50D9C">
        <w:rPr>
          <w:rFonts w:ascii="Times New Roman" w:eastAsia="Times New Roman" w:hAnsi="Times New Roman" w:cs="Times New Roman"/>
          <w:lang w:val="x-none" w:eastAsia="hr-HR"/>
        </w:rPr>
        <w:t>šume i šumska zemljišta ne mogu mijenjati namjenu te se na istima može graditi samo prema Zakonu o šumama</w:t>
      </w:r>
    </w:p>
    <w:p w14:paraId="4DB68B82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šuma se može krčiti za potrebe infrastrukturnih građevina predviđenih ovim Planom i planovima višeg reda (šireg područja), te sukladno posebnim propisima. Pri tom bi bilo svrhovito osigurati zamjensku površinu i pošumiti je</w:t>
      </w:r>
    </w:p>
    <w:p w14:paraId="6F12CD3F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nekvalitetno poljoprivredno i ostalo neobradivo zemljište koje ekonomski nije opravdano koristiti u poljoprivredne svrhe, može se pošumiti</w:t>
      </w:r>
    </w:p>
    <w:p w14:paraId="3F58CD9E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svrhu očuvanja i unapređenja šumskog fonda u privatnim šumama poželjno je korištenje postojećih osnova gospodarenja državnim šumama.</w:t>
      </w:r>
    </w:p>
    <w:p w14:paraId="4CD4F73F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Ubrzati izgradnju sustava odvodnje s uređajem za pročišćavanje otpadnih voda, posebno radi stalnog znatnog povećanja otpadnih voda i zagađenja;</w:t>
      </w:r>
    </w:p>
    <w:p w14:paraId="211E055A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(3) U cilju poboljšanja okoliša propisuju se sljedeće mjere: </w:t>
      </w:r>
    </w:p>
    <w:p w14:paraId="17C022E4" w14:textId="77777777" w:rsidR="00E50D9C" w:rsidRPr="00E50D9C" w:rsidRDefault="00E50D9C" w:rsidP="00E50D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a)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Izgraditi sustav kanalizacije s uređajima za pročišćavanje, osobito u radnim zonama, i na svim mjestima gdje se javljaju znatniji onečišćivači;  </w:t>
      </w:r>
    </w:p>
    <w:p w14:paraId="41074C76" w14:textId="77777777" w:rsidR="00E50D9C" w:rsidRPr="00E50D9C" w:rsidRDefault="00E50D9C" w:rsidP="00E50D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Redovito treba čistiti naselje od krutog i krupnog otpada, sanirati postojeća i sprječavati nova divlja odlagališta po poljodjelskim i šumskim površinama;  </w:t>
      </w:r>
    </w:p>
    <w:p w14:paraId="500D1738" w14:textId="77777777" w:rsidR="00E50D9C" w:rsidRPr="00E50D9C" w:rsidRDefault="00E50D9C" w:rsidP="00E50D9C">
      <w:pPr>
        <w:spacing w:before="40" w:after="4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Smanjiti uporabu agrotehničkih sredstava koja onečišćuju tlo (pesticide, umjetno gnojivo i sl.).</w:t>
      </w:r>
    </w:p>
    <w:p w14:paraId="21409CB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6C88BA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98. stavku (1) točka 2. se briše, a točka 3. postaje točka 2.</w:t>
      </w:r>
    </w:p>
    <w:p w14:paraId="16A2F6A4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4DCAB0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99. mijenja se i glasi:</w:t>
      </w:r>
    </w:p>
    <w:p w14:paraId="209AD16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Mjere posebne zaštite za područje Grada Zlatara temelje se na zakonskim i podzakonskim propisima, te na Procjeni rizika od velikih nesreća za Grad Zlatar.</w:t>
      </w:r>
    </w:p>
    <w:p w14:paraId="6E60921E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9D2751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103.a. mijenja se i glasi:</w:t>
      </w:r>
    </w:p>
    <w:p w14:paraId="69E2FEA5" w14:textId="77777777" w:rsidR="00E50D9C" w:rsidRPr="00E50D9C" w:rsidRDefault="00E50D9C" w:rsidP="00E50D9C">
      <w:pPr>
        <w:spacing w:before="40" w:after="4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(1) Pri projektiranju građevina obvezno primjenjivati sljedeće:  </w:t>
      </w:r>
    </w:p>
    <w:p w14:paraId="444FF37B" w14:textId="77777777" w:rsidR="00E50D9C" w:rsidRPr="00E50D9C" w:rsidRDefault="00E50D9C" w:rsidP="00E50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a)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Vatrogasne prilaze građevinama izvesti u skladu sa zakonima, pravilnicima i normama.  </w:t>
      </w:r>
    </w:p>
    <w:p w14:paraId="4A3C92F8" w14:textId="77777777" w:rsidR="00E50D9C" w:rsidRPr="00E50D9C" w:rsidRDefault="00E50D9C" w:rsidP="00E50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U svrhu sprječavanja širenja požara na susjedne građevine, građevina mora biti udaljena od susjednih građevina najmanje četiri metra, ili manje u izgrađenim dijelovima građevinskih područja naselja ako se dokaže, uzimajući u obzir požarno opterećenje, brzinu širenja požara, požarne karakteristike materijala građevine, veličinu otvora na vanjskim zidovima građevine i dr., da se požar ne će prenijeti na susjedne građevine. Ako se građevina izgrađuje kao prislonjena uz susjednu građevinu (na međi):  </w:t>
      </w:r>
    </w:p>
    <w:p w14:paraId="10DF1368" w14:textId="77777777" w:rsidR="00E50D9C" w:rsidRPr="00E50D9C" w:rsidRDefault="00E50D9C" w:rsidP="00E50D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ili mora biti odvojena od susjedne građevine požarnim zidom vatrootpornosti najmanje 90 minuta, koji u slučaju da građevina ima krovnu konstrukciju (ne odnosi se na ravni krov) nadvisuje krov građevine najmanje 0,5 metara,  </w:t>
      </w:r>
    </w:p>
    <w:p w14:paraId="58F8320E" w14:textId="77777777" w:rsidR="00E50D9C" w:rsidRPr="00E50D9C" w:rsidRDefault="00E50D9C" w:rsidP="00E50D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ili završava dvostranom konzolom iste vatrootpornosti dužine najmanje 1 metar ispod pokrova krovišta, koji mora biti od negorivog materijala najmanje na dužini konzole.  </w:t>
      </w:r>
    </w:p>
    <w:p w14:paraId="44A5228B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Skladišta, pretakališta i postrojenja za zapaljive tekućine i plinove, te skladišta eksploziva planirati na mjestima sukladnim pozitivnim zakonskim odredbama, pravilnicima i normama.  </w:t>
      </w:r>
    </w:p>
    <w:p w14:paraId="0E2B1813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Prilikom gradnje, ili rekonstrukcije vodoopskrbne mreže, ukoliko ne postoje, predvidjeti vanjsku hidrantsku mrežu sukladno posebnom propisu.  </w:t>
      </w:r>
    </w:p>
    <w:p w14:paraId="264741C2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e)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Za građevine koje se planiraju uz posebne mjere zaštite od požara, uz obvezu ishođenja posebnih uvjeta, propisuje se i obvezno ishođenje suglasnosti od nadležne policijske uprave o pravilnom planiranju protupožarne zaštite,  </w:t>
      </w:r>
    </w:p>
    <w:p w14:paraId="16B27370" w14:textId="77777777" w:rsidR="00E50D9C" w:rsidRPr="00E50D9C" w:rsidRDefault="00E50D9C" w:rsidP="00E50D9C">
      <w:pPr>
        <w:spacing w:before="40" w:after="4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f)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građevine, za koje se ne zahtijevaju posebne mjere zaštite od požara i građevine iz Pravilnika o građevinama za koje nije potrebno ishoditi posebne uvjete građenja glede zaštite od požara, nije potrebno ishoditi suglasnost od nadležne policijske uprave glede zaštite od požara.</w:t>
      </w:r>
    </w:p>
    <w:p w14:paraId="57035FD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781626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103.e. stavak (3) mijenja se i glasi:</w:t>
      </w:r>
    </w:p>
    <w:p w14:paraId="79A8B6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„(3) Prilikom svih zahvata u prostoru, te izrade dokumenata prostornog uređenja, obvezno je koristiti odredbe Pravilnika o uvjetima za vatrogasne pristupe i Pravilnika o tehničkim normativima za hidrantsku mrežu za gašenje požara, odnosno važećih propisa“.</w:t>
      </w:r>
    </w:p>
    <w:p w14:paraId="5880591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stavak (4):</w:t>
      </w:r>
    </w:p>
    <w:p w14:paraId="4EE6406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(4) Građevine i postrojenja u kojima će se skladištiti i koristiti zapaljive tekućine i plinovi, moraju se graditi na sigurnosnoj udaljenosti od ostalih građevina i komunalnih uređaja, u skladu s odredbama Zakona o zapaljivim tekućinama i plinovima.</w:t>
      </w:r>
    </w:p>
    <w:p w14:paraId="7240F3E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0DA9C6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Iza Članka 103.g. dodaje se podnaslov: “9.2.12. </w:t>
      </w:r>
      <w:r w:rsidRPr="00E50D9C">
        <w:rPr>
          <w:rFonts w:ascii="Times New Roman" w:eastAsia="Times New Roman" w:hAnsi="Times New Roman" w:cs="Times New Roman"/>
          <w:lang w:eastAsia="hr-HR"/>
        </w:rPr>
        <w:t>Mjere zaštite voda i vodonosnika“ i Članak 103.f.:</w:t>
      </w:r>
    </w:p>
    <w:p w14:paraId="1DAEABA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spacing w:val="100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9.2.12. </w:t>
      </w:r>
      <w:r w:rsidRPr="00E50D9C">
        <w:rPr>
          <w:rFonts w:ascii="Times New Roman" w:eastAsia="Times New Roman" w:hAnsi="Times New Roman" w:cs="Times New Roman"/>
          <w:spacing w:val="100"/>
          <w:lang w:eastAsia="hr-HR"/>
        </w:rPr>
        <w:t>Mjere zaštite voda i vodonosnika</w:t>
      </w:r>
    </w:p>
    <w:p w14:paraId="50FCF5A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Članak 103.f.</w:t>
      </w:r>
    </w:p>
    <w:p w14:paraId="1368A711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zonama postojećih i potencijalnih vodocrpilišta, moraju se provoditi sve mjere zaštite od zagađenja podzemnih voda, vršiti daljnja istraživanja, a na ista se ne mogu širiti građevinska područja niti izgrađivati gospodarski i drugi pogoni. Gospodarske građevine za uzgoj životinja ne smiju se graditi u radijusu od 500 m oko potencijalne lokacije vodocrpilišta.</w:t>
      </w:r>
    </w:p>
    <w:p w14:paraId="30DDEEC6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Izgradnja i uređivanje zemljišta uz vodotoke treba se izvoditi u skladu s vodopravnim uvjetima.</w:t>
      </w:r>
    </w:p>
    <w:p w14:paraId="4D1DF33A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vodotoke se ne smije ispuštati gnojnica, otopine umjetnih gnojiva, kao i druge štetne tvari, posebno iz gospodarskih i proizvodnih objekata.</w:t>
      </w:r>
    </w:p>
    <w:p w14:paraId="1108D4FC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Nije dozvoljeno upuštanje zauljenih oborinskih voda s prometnih površina i parkirališta putem privremenih i/ili trajnih ispusta u: vodotoke, melioracijske kanale i parcele javnog vodnog dobra.</w:t>
      </w:r>
    </w:p>
    <w:p w14:paraId="1ADF8404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BD8575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Članku 105. stavku (2) riječi: “planovima užih područja”, mijenjaju se s: “</w:t>
      </w:r>
      <w:r w:rsidRPr="00E50D9C">
        <w:rPr>
          <w:rFonts w:ascii="Times New Roman" w:eastAsia="Times New Roman" w:hAnsi="Times New Roman" w:cs="Times New Roman"/>
          <w:lang w:eastAsia="hr-HR"/>
        </w:rPr>
        <w:t>detaljnom projektnom dokumentacijom“</w:t>
      </w:r>
    </w:p>
    <w:p w14:paraId="059B357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>U stavku (3), iza riječi: “gabaritima” dodaju se: “</w:t>
      </w:r>
      <w:r w:rsidRPr="00E50D9C">
        <w:rPr>
          <w:rFonts w:ascii="Times New Roman" w:eastAsia="Times New Roman" w:hAnsi="Times New Roman" w:cs="Times New Roman"/>
          <w:lang w:eastAsia="hr-HR"/>
        </w:rPr>
        <w:t>te dograđivati i graditi pomoćne građevine prema ovim Odredbama“.</w:t>
      </w:r>
    </w:p>
    <w:p w14:paraId="2E5EEB0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A6C1CE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Članak 110. mijenja se i glasi:</w:t>
      </w:r>
    </w:p>
    <w:p w14:paraId="709C9E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Grafički dijelovi i obvezni prilozi Prostornog plana iz čl. 2. ove Odluke, sastavni su dijelovi ovog Prostornog plana, ali nisu predmet objave.</w:t>
      </w:r>
    </w:p>
    <w:p w14:paraId="4372FE5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Calibri" w:hAnsi="Times New Roman" w:cs="Times New Roman"/>
        </w:rPr>
        <w:t>GRAFIČKI DIJELOVI PLANA:</w:t>
      </w:r>
    </w:p>
    <w:p w14:paraId="2D952DBF" w14:textId="77777777" w:rsidR="00E50D9C" w:rsidRPr="00E50D9C" w:rsidRDefault="00E50D9C" w:rsidP="00E50D9C">
      <w:pPr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</w:rPr>
      </w:pPr>
      <w:r w:rsidRPr="00E50D9C">
        <w:rPr>
          <w:rFonts w:ascii="Times New Roman" w:eastAsia="Calibri" w:hAnsi="Times New Roman" w:cs="Times New Roman"/>
        </w:rPr>
        <w:t>KORIŠTENJE I NAMJENA POVRŠINA</w:t>
      </w:r>
    </w:p>
    <w:p w14:paraId="4F08CACF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1.A. PROSTORI ZA RAZVOJ I UREĐENJE</w:t>
      </w:r>
    </w:p>
    <w:p w14:paraId="1F59398C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1.B. PROMET – CESTOVNI PROMET</w:t>
      </w:r>
    </w:p>
    <w:p w14:paraId="3D017B3D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1.C. POŠTA I ELEKTRONIČKE KOMUNIKACIJE</w:t>
      </w:r>
    </w:p>
    <w:p w14:paraId="7CE1A2A8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INFRASTRUKTURNI SUSTAVI</w:t>
      </w:r>
    </w:p>
    <w:p w14:paraId="7729FC84" w14:textId="77777777" w:rsidR="00E50D9C" w:rsidRPr="00E50D9C" w:rsidRDefault="00E50D9C" w:rsidP="00E50D9C">
      <w:pPr>
        <w:tabs>
          <w:tab w:val="left" w:pos="2145"/>
        </w:tabs>
        <w:spacing w:after="0" w:line="240" w:lineRule="auto"/>
        <w:ind w:left="1247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2.A. ENERGETSKI SUSTAV</w:t>
      </w:r>
    </w:p>
    <w:p w14:paraId="20C94CF7" w14:textId="77777777" w:rsidR="00E50D9C" w:rsidRPr="00E50D9C" w:rsidRDefault="00E50D9C" w:rsidP="00E50D9C">
      <w:pPr>
        <w:spacing w:after="0" w:line="240" w:lineRule="auto"/>
        <w:ind w:left="1247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2.B. VODNOGOSPODARSKI SUSTAV, OBRADA, SKLADIŠTENJE I ODLAGANJE OTPADA</w:t>
      </w:r>
    </w:p>
    <w:p w14:paraId="659A60B1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UVJETI ZA KORIŠTENJE, UREĐENJE I ZAŠTITU PROSTORA</w:t>
      </w:r>
    </w:p>
    <w:p w14:paraId="6E7C52A5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GRAĐEVINSKA PODRUČJA NASELJA</w:t>
      </w:r>
    </w:p>
    <w:p w14:paraId="327B76CF" w14:textId="77777777" w:rsidR="00E50D9C" w:rsidRPr="00E50D9C" w:rsidRDefault="00E50D9C" w:rsidP="00E50D9C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LISTOVI:</w:t>
      </w:r>
    </w:p>
    <w:p w14:paraId="4589A835" w14:textId="77777777" w:rsidR="00E50D9C" w:rsidRPr="00E50D9C" w:rsidRDefault="00E50D9C" w:rsidP="00E50D9C">
      <w:pPr>
        <w:spacing w:after="0" w:line="240" w:lineRule="auto"/>
        <w:ind w:left="1075" w:firstLine="172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4.1. ; 4.2. ; 4.3. ; 4.4.; 4.5.; 4.6.; 4.7.; 4.8.; 4.9.</w:t>
      </w:r>
    </w:p>
    <w:p w14:paraId="4D06DE42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B895E2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>Članak 112. mijenja se i glasi:</w:t>
      </w:r>
    </w:p>
    <w:p w14:paraId="7FECA46C" w14:textId="77777777" w:rsidR="00E50D9C" w:rsidRPr="00E50D9C" w:rsidRDefault="00E50D9C" w:rsidP="00E50D9C">
      <w:pPr>
        <w:widowControl w:val="0"/>
        <w:tabs>
          <w:tab w:val="left" w:pos="1025"/>
        </w:tabs>
        <w:spacing w:after="60" w:line="240" w:lineRule="exact"/>
        <w:ind w:left="851" w:hanging="284"/>
        <w:jc w:val="both"/>
        <w:rPr>
          <w:rFonts w:ascii="Times New Roman" w:eastAsia="Tahoma" w:hAnsi="Times New Roman" w:cs="Times New Roman"/>
        </w:rPr>
      </w:pPr>
      <w:r w:rsidRPr="00E50D9C">
        <w:rPr>
          <w:rFonts w:ascii="Times New Roman" w:eastAsia="Tahoma" w:hAnsi="Times New Roman" w:cs="Times New Roman"/>
        </w:rPr>
        <w:t>(1) Svi postupci pokrenuti kod nadležnih Upravnih tijela prije stupanja na snagu ovoga Plana, nastavit će se u skladu s Planom koji je bio na snazi u vrijeme pokretanja tih postupaka.</w:t>
      </w:r>
    </w:p>
    <w:p w14:paraId="346CC948" w14:textId="77777777" w:rsidR="00E50D9C" w:rsidRPr="00E50D9C" w:rsidRDefault="00E50D9C" w:rsidP="00E50D9C">
      <w:pPr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Ove odredbe za provođenje stupaju na snagu osmog dana po objavi Odluke o donošenju Prostornog plana uređenja Grada Zlatara u Službenom glasniku Krapinsko-zagorske županije.</w:t>
      </w:r>
    </w:p>
    <w:p w14:paraId="4C72A759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8AD327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D3667F" w14:textId="3D39E5A7" w:rsidR="00E50D9C" w:rsidRPr="00E50D9C" w:rsidRDefault="00E50D9C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KLASA:</w:t>
      </w:r>
      <w:r w:rsidR="008E49F3">
        <w:rPr>
          <w:rFonts w:ascii="Times New Roman" w:eastAsia="Times New Roman" w:hAnsi="Times New Roman" w:cs="Times New Roman"/>
          <w:lang w:eastAsia="hr-HR"/>
        </w:rPr>
        <w:t xml:space="preserve"> 350-01/20-01/24</w:t>
      </w:r>
    </w:p>
    <w:p w14:paraId="5E0FDC1E" w14:textId="57660259" w:rsidR="00E50D9C" w:rsidRPr="00E50D9C" w:rsidRDefault="00E50D9C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URBROJ:</w:t>
      </w:r>
      <w:r w:rsidR="008E49F3">
        <w:rPr>
          <w:rFonts w:ascii="Times New Roman" w:eastAsia="Times New Roman" w:hAnsi="Times New Roman" w:cs="Times New Roman"/>
          <w:lang w:eastAsia="hr-HR"/>
        </w:rPr>
        <w:t xml:space="preserve"> 2211/01-01-21-</w:t>
      </w:r>
      <w:r w:rsidR="009B1BDD">
        <w:rPr>
          <w:rFonts w:ascii="Times New Roman" w:eastAsia="Times New Roman" w:hAnsi="Times New Roman" w:cs="Times New Roman"/>
          <w:lang w:eastAsia="hr-HR"/>
        </w:rPr>
        <w:t>123</w:t>
      </w:r>
    </w:p>
    <w:p w14:paraId="217C5DC4" w14:textId="32667AF8" w:rsidR="00E50D9C" w:rsidRPr="00E50D9C" w:rsidRDefault="008E49F3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Zlataru</w:t>
      </w:r>
      <w:r w:rsidR="009B1BDD">
        <w:rPr>
          <w:rFonts w:ascii="Times New Roman" w:eastAsia="Times New Roman" w:hAnsi="Times New Roman" w:cs="Times New Roman"/>
          <w:lang w:eastAsia="hr-HR"/>
        </w:rPr>
        <w:t>03.11.</w:t>
      </w:r>
      <w:r>
        <w:rPr>
          <w:rFonts w:ascii="Times New Roman" w:eastAsia="Times New Roman" w:hAnsi="Times New Roman" w:cs="Times New Roman"/>
          <w:lang w:eastAsia="hr-HR"/>
        </w:rPr>
        <w:t>2021.</w:t>
      </w:r>
    </w:p>
    <w:p w14:paraId="3B25ED23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496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50D9C" w:rsidRPr="00E50D9C" w14:paraId="4A69753E" w14:textId="77777777" w:rsidTr="00E72C92">
        <w:tc>
          <w:tcPr>
            <w:tcW w:w="4961" w:type="dxa"/>
          </w:tcPr>
          <w:p w14:paraId="390735C0" w14:textId="346C7982" w:rsidR="00E50D9C" w:rsidRDefault="00E50D9C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PREDSJEDNI</w:t>
            </w:r>
            <w:r w:rsidR="008E49F3">
              <w:rPr>
                <w:rFonts w:ascii="Times New Roman" w:eastAsia="Times New Roman" w:hAnsi="Times New Roman" w:cs="Times New Roman"/>
                <w:lang w:eastAsia="hr-HR"/>
              </w:rPr>
              <w:t>CA</w:t>
            </w: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GRADSKOG VIJEĆA</w:t>
            </w:r>
          </w:p>
          <w:p w14:paraId="407E506F" w14:textId="1AFB4703" w:rsidR="008E49F3" w:rsidRPr="00E50D9C" w:rsidRDefault="008E49F3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Danijela Findak</w:t>
            </w:r>
          </w:p>
          <w:p w14:paraId="64A5DF03" w14:textId="77777777" w:rsidR="00E50D9C" w:rsidRPr="00E50D9C" w:rsidRDefault="00E50D9C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AC3AEBA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A61051" w14:textId="77777777" w:rsidR="009605DC" w:rsidRPr="00E50D9C" w:rsidRDefault="009605DC" w:rsidP="00E50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E50D9C" w:rsidSect="00400A93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2799" w14:textId="77777777" w:rsidR="009C002F" w:rsidRDefault="009C002F">
      <w:pPr>
        <w:spacing w:after="0" w:line="240" w:lineRule="auto"/>
      </w:pPr>
      <w:r>
        <w:separator/>
      </w:r>
    </w:p>
  </w:endnote>
  <w:endnote w:type="continuationSeparator" w:id="0">
    <w:p w14:paraId="148E729D" w14:textId="77777777" w:rsidR="009C002F" w:rsidRDefault="009C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90772"/>
      <w:docPartObj>
        <w:docPartGallery w:val="Page Numbers (Bottom of Page)"/>
        <w:docPartUnique/>
      </w:docPartObj>
    </w:sdtPr>
    <w:sdtEndPr/>
    <w:sdtContent>
      <w:p w14:paraId="5013024A" w14:textId="77777777" w:rsidR="00325DFB" w:rsidRDefault="00E50D9C">
        <w:pPr>
          <w:pStyle w:val="Podnoje"/>
          <w:jc w:val="right"/>
        </w:pPr>
        <w:r w:rsidRPr="00325DFB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325DFB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325DFB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325DFB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14:paraId="044BC03B" w14:textId="77777777" w:rsidR="00325DFB" w:rsidRDefault="009C00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CC71" w14:textId="77777777" w:rsidR="009C002F" w:rsidRDefault="009C002F">
      <w:pPr>
        <w:spacing w:after="0" w:line="240" w:lineRule="auto"/>
      </w:pPr>
      <w:r>
        <w:separator/>
      </w:r>
    </w:p>
  </w:footnote>
  <w:footnote w:type="continuationSeparator" w:id="0">
    <w:p w14:paraId="2D8DAF3D" w14:textId="77777777" w:rsidR="009C002F" w:rsidRDefault="009C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70A17C"/>
    <w:multiLevelType w:val="hybridMultilevel"/>
    <w:tmpl w:val="EC0B93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6E81"/>
    <w:multiLevelType w:val="hybridMultilevel"/>
    <w:tmpl w:val="4B464BE2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2498"/>
    <w:multiLevelType w:val="hybridMultilevel"/>
    <w:tmpl w:val="1E201D28"/>
    <w:lvl w:ilvl="0" w:tplc="1F4029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A35BF"/>
    <w:multiLevelType w:val="hybridMultilevel"/>
    <w:tmpl w:val="46CA2946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206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08A00DF1"/>
    <w:multiLevelType w:val="hybridMultilevel"/>
    <w:tmpl w:val="F112E752"/>
    <w:lvl w:ilvl="0" w:tplc="F76A4FD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F014F6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</w:rPr>
    </w:lvl>
  </w:abstractNum>
  <w:abstractNum w:abstractNumId="7" w15:restartNumberingAfterBreak="0">
    <w:nsid w:val="10C1618B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8" w15:restartNumberingAfterBreak="0">
    <w:nsid w:val="12EA17E8"/>
    <w:multiLevelType w:val="hybridMultilevel"/>
    <w:tmpl w:val="5C50F5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CB368B"/>
    <w:multiLevelType w:val="hybridMultilevel"/>
    <w:tmpl w:val="3C224C42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00E"/>
    <w:multiLevelType w:val="hybridMultilevel"/>
    <w:tmpl w:val="63D20AA4"/>
    <w:lvl w:ilvl="0" w:tplc="1F402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F1D7F"/>
    <w:multiLevelType w:val="hybridMultilevel"/>
    <w:tmpl w:val="33CEC8CC"/>
    <w:lvl w:ilvl="0" w:tplc="DDF6C6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14D2C"/>
    <w:multiLevelType w:val="hybridMultilevel"/>
    <w:tmpl w:val="ADDE905A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D27BF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DE664A"/>
    <w:multiLevelType w:val="hybridMultilevel"/>
    <w:tmpl w:val="51083AEC"/>
    <w:lvl w:ilvl="0" w:tplc="F7E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3603D"/>
    <w:multiLevelType w:val="hybridMultilevel"/>
    <w:tmpl w:val="9620AD94"/>
    <w:lvl w:ilvl="0" w:tplc="1F4029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1D7FA8"/>
    <w:multiLevelType w:val="hybridMultilevel"/>
    <w:tmpl w:val="259ACDEE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2142DE4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484E2628"/>
    <w:multiLevelType w:val="hybridMultilevel"/>
    <w:tmpl w:val="85881DAA"/>
    <w:lvl w:ilvl="0" w:tplc="1F4029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AE453A9"/>
    <w:multiLevelType w:val="hybridMultilevel"/>
    <w:tmpl w:val="64C2C170"/>
    <w:lvl w:ilvl="0" w:tplc="1F402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17739"/>
    <w:multiLevelType w:val="hybridMultilevel"/>
    <w:tmpl w:val="49CC74E0"/>
    <w:lvl w:ilvl="0" w:tplc="3B547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C7978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 w15:restartNumberingAfterBreak="0">
    <w:nsid w:val="5A3D2038"/>
    <w:multiLevelType w:val="hybridMultilevel"/>
    <w:tmpl w:val="8A2C363C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0FA5"/>
    <w:multiLevelType w:val="hybridMultilevel"/>
    <w:tmpl w:val="E0DE5E3C"/>
    <w:lvl w:ilvl="0" w:tplc="0DF2447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DB76A2"/>
    <w:multiLevelType w:val="hybridMultilevel"/>
    <w:tmpl w:val="B58647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B7E1276"/>
    <w:multiLevelType w:val="hybridMultilevel"/>
    <w:tmpl w:val="BE348C60"/>
    <w:lvl w:ilvl="0" w:tplc="0DF2447E">
      <w:start w:val="1"/>
      <w:numFmt w:val="bullet"/>
      <w:lvlText w:val="-"/>
      <w:lvlJc w:val="left"/>
      <w:pPr>
        <w:ind w:left="1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 w15:restartNumberingAfterBreak="0">
    <w:nsid w:val="6CD044ED"/>
    <w:multiLevelType w:val="hybridMultilevel"/>
    <w:tmpl w:val="855ED29A"/>
    <w:lvl w:ilvl="0" w:tplc="BC989BEE">
      <w:start w:val="2"/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7" w15:restartNumberingAfterBreak="0">
    <w:nsid w:val="6D2B553A"/>
    <w:multiLevelType w:val="hybridMultilevel"/>
    <w:tmpl w:val="9386F94C"/>
    <w:lvl w:ilvl="0" w:tplc="0DF2447E">
      <w:start w:val="1"/>
      <w:numFmt w:val="bullet"/>
      <w:lvlText w:val="-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3550F7"/>
    <w:multiLevelType w:val="hybridMultilevel"/>
    <w:tmpl w:val="AF1A0A5E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20"/>
  </w:num>
  <w:num w:numId="5">
    <w:abstractNumId w:val="26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7"/>
  </w:num>
  <w:num w:numId="11">
    <w:abstractNumId w:val="21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28"/>
  </w:num>
  <w:num w:numId="17">
    <w:abstractNumId w:val="25"/>
  </w:num>
  <w:num w:numId="18">
    <w:abstractNumId w:val="13"/>
  </w:num>
  <w:num w:numId="19">
    <w:abstractNumId w:val="18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  <w:num w:numId="24">
    <w:abstractNumId w:val="23"/>
  </w:num>
  <w:num w:numId="25">
    <w:abstractNumId w:val="0"/>
  </w:num>
  <w:num w:numId="26">
    <w:abstractNumId w:val="8"/>
  </w:num>
  <w:num w:numId="27">
    <w:abstractNumId w:val="24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C"/>
    <w:rsid w:val="004E26CB"/>
    <w:rsid w:val="00554F41"/>
    <w:rsid w:val="008E49F3"/>
    <w:rsid w:val="009605DC"/>
    <w:rsid w:val="009B1BDD"/>
    <w:rsid w:val="009C002F"/>
    <w:rsid w:val="00E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D0E"/>
  <w15:chartTrackingRefBased/>
  <w15:docId w15:val="{82028701-1DD0-4C99-819E-CD9A589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50D9C"/>
    <w:pPr>
      <w:tabs>
        <w:tab w:val="center" w:pos="4536"/>
        <w:tab w:val="right" w:pos="9072"/>
      </w:tabs>
      <w:spacing w:after="0" w:line="240" w:lineRule="auto"/>
      <w:ind w:left="680" w:hanging="340"/>
      <w:jc w:val="both"/>
    </w:pPr>
    <w:rPr>
      <w:rFonts w:ascii="Arial" w:eastAsia="Times New Roman" w:hAnsi="Arial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50D9C"/>
    <w:rPr>
      <w:rFonts w:ascii="Arial" w:eastAsia="Times New Roman" w:hAnsi="Arial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3663</Words>
  <Characters>20884</Characters>
  <Application>Microsoft Office Word</Application>
  <DocSecurity>0</DocSecurity>
  <Lines>174</Lines>
  <Paragraphs>48</Paragraphs>
  <ScaleCrop>false</ScaleCrop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4</cp:revision>
  <dcterms:created xsi:type="dcterms:W3CDTF">2021-10-17T09:48:00Z</dcterms:created>
  <dcterms:modified xsi:type="dcterms:W3CDTF">2021-11-22T09:31:00Z</dcterms:modified>
</cp:coreProperties>
</file>