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D7A4" w14:textId="4F127C29" w:rsidR="004940EF" w:rsidRPr="004940EF" w:rsidRDefault="004940EF" w:rsidP="004940EF">
      <w:pPr>
        <w:widowControl/>
        <w:autoSpaceDE/>
        <w:autoSpaceDN/>
        <w:ind w:right="4536" w:hanging="1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lang w:val="hr-HR" w:eastAsia="hr-HR" w:bidi="ar-SA"/>
        </w:rPr>
      </w:pPr>
      <w:r w:rsidRPr="004940EF">
        <w:rPr>
          <w:rFonts w:ascii="Times New Roman" w:eastAsia="Calibri" w:hAnsi="Times New Roman" w:cs="Times New Roman"/>
          <w:noProof/>
          <w:sz w:val="24"/>
          <w:szCs w:val="24"/>
          <w:lang w:val="hr-HR" w:eastAsia="hr-HR" w:bidi="ar-SA"/>
        </w:rPr>
        <w:drawing>
          <wp:inline distT="0" distB="0" distL="0" distR="0" wp14:anchorId="6C5927D4" wp14:editId="17A2EEE9">
            <wp:extent cx="600075" cy="676275"/>
            <wp:effectExtent l="0" t="0" r="9525" b="9525"/>
            <wp:docPr id="103341892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29083" w14:textId="77777777" w:rsidR="004940EF" w:rsidRPr="004940EF" w:rsidRDefault="004940EF" w:rsidP="004940EF">
      <w:pPr>
        <w:widowControl/>
        <w:autoSpaceDE/>
        <w:autoSpaceDN/>
        <w:ind w:right="4536" w:hanging="1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lang w:val="hr-HR" w:eastAsia="hr-HR" w:bidi="ar-SA"/>
        </w:rPr>
      </w:pPr>
      <w:r w:rsidRPr="004940EF">
        <w:rPr>
          <w:rFonts w:ascii="Times New Roman" w:eastAsia="Calibri" w:hAnsi="Times New Roman" w:cs="Times New Roman"/>
          <w:noProof/>
          <w:sz w:val="24"/>
          <w:szCs w:val="24"/>
          <w:lang w:val="hr-HR" w:eastAsia="hr-HR" w:bidi="ar-SA"/>
        </w:rPr>
        <w:t>REPUBLIKA HRVATSKA</w:t>
      </w:r>
    </w:p>
    <w:p w14:paraId="155EB494" w14:textId="77777777" w:rsidR="004940EF" w:rsidRPr="004940EF" w:rsidRDefault="004940EF" w:rsidP="004940EF">
      <w:pPr>
        <w:widowControl/>
        <w:autoSpaceDE/>
        <w:autoSpaceDN/>
        <w:ind w:right="4536" w:hanging="1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lang w:val="hr-HR" w:eastAsia="hr-HR" w:bidi="ar-SA"/>
        </w:rPr>
      </w:pPr>
      <w:r w:rsidRPr="004940EF">
        <w:rPr>
          <w:rFonts w:ascii="Times New Roman" w:eastAsia="Calibri" w:hAnsi="Times New Roman" w:cs="Times New Roman"/>
          <w:noProof/>
          <w:sz w:val="24"/>
          <w:szCs w:val="24"/>
          <w:lang w:val="hr-HR" w:eastAsia="hr-HR" w:bidi="ar-SA"/>
        </w:rPr>
        <w:t>KRAPINSKO - ZAGORSKA ŽUPANIJA</w:t>
      </w:r>
    </w:p>
    <w:p w14:paraId="6D425413" w14:textId="77777777" w:rsidR="004940EF" w:rsidRPr="004940EF" w:rsidRDefault="004940EF" w:rsidP="004940EF">
      <w:pPr>
        <w:widowControl/>
        <w:autoSpaceDE/>
        <w:autoSpaceDN/>
        <w:ind w:right="4536" w:hanging="1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lang w:val="hr-HR" w:eastAsia="hr-HR" w:bidi="ar-SA"/>
        </w:rPr>
      </w:pPr>
      <w:r w:rsidRPr="004940EF">
        <w:rPr>
          <w:rFonts w:ascii="Times New Roman" w:eastAsia="Calibri" w:hAnsi="Times New Roman" w:cs="Times New Roman"/>
          <w:noProof/>
          <w:sz w:val="24"/>
          <w:szCs w:val="24"/>
          <w:lang w:val="hr-HR" w:eastAsia="hr-HR" w:bidi="ar-SA"/>
        </w:rPr>
        <w:t>GRAD ZLATAR</w:t>
      </w:r>
    </w:p>
    <w:p w14:paraId="24A05397" w14:textId="77777777" w:rsidR="004940EF" w:rsidRPr="004940EF" w:rsidRDefault="004940EF" w:rsidP="004940EF">
      <w:pPr>
        <w:widowControl/>
        <w:autoSpaceDE/>
        <w:autoSpaceDN/>
        <w:ind w:right="4536" w:hanging="1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lang w:val="hr-HR" w:eastAsia="hr-HR" w:bidi="ar-SA"/>
        </w:rPr>
      </w:pPr>
      <w:r w:rsidRPr="004940EF">
        <w:rPr>
          <w:rFonts w:ascii="Times New Roman" w:eastAsia="Calibri" w:hAnsi="Times New Roman" w:cs="Times New Roman"/>
          <w:noProof/>
          <w:sz w:val="24"/>
          <w:szCs w:val="24"/>
          <w:lang w:val="hr-HR" w:eastAsia="hr-HR" w:bidi="ar-SA"/>
        </w:rPr>
        <w:t>JEDINSTVENI UPRAVNI ODJEL</w:t>
      </w:r>
    </w:p>
    <w:p w14:paraId="36C7ECA0" w14:textId="77777777" w:rsidR="00DB5C06" w:rsidRDefault="00DB5C06" w:rsidP="00581E62">
      <w:pPr>
        <w:rPr>
          <w:b/>
        </w:rPr>
      </w:pPr>
    </w:p>
    <w:p w14:paraId="306FFEF5" w14:textId="7C1CF19D" w:rsidR="00581E62" w:rsidRPr="00DB5C06" w:rsidRDefault="00581E62" w:rsidP="00DB5C06">
      <w:pPr>
        <w:widowControl/>
        <w:autoSpaceDE/>
        <w:autoSpaceDN/>
        <w:ind w:right="5103"/>
        <w:jc w:val="both"/>
        <w:rPr>
          <w:rFonts w:ascii="Times New Roman" w:eastAsia="Calibri" w:hAnsi="Times New Roman" w:cs="Times New Roman"/>
          <w:sz w:val="24"/>
          <w:lang w:val="hr-HR" w:eastAsia="en-US" w:bidi="ar-SA"/>
        </w:rPr>
      </w:pPr>
      <w:r w:rsidRPr="00DB5C06">
        <w:rPr>
          <w:rFonts w:ascii="Times New Roman" w:eastAsia="Calibri" w:hAnsi="Times New Roman" w:cs="Times New Roman"/>
          <w:sz w:val="24"/>
          <w:lang w:val="hr-HR" w:eastAsia="en-US" w:bidi="ar-SA"/>
        </w:rPr>
        <w:t>KLASA: 403-01/</w:t>
      </w:r>
      <w:r w:rsidR="00DB5C06">
        <w:rPr>
          <w:rFonts w:ascii="Times New Roman" w:eastAsia="Calibri" w:hAnsi="Times New Roman" w:cs="Times New Roman"/>
          <w:sz w:val="24"/>
          <w:lang w:val="hr-HR" w:eastAsia="en-US" w:bidi="ar-SA"/>
        </w:rPr>
        <w:t>25</w:t>
      </w:r>
      <w:r w:rsidRPr="00DB5C06">
        <w:rPr>
          <w:rFonts w:ascii="Times New Roman" w:eastAsia="Calibri" w:hAnsi="Times New Roman" w:cs="Times New Roman"/>
          <w:sz w:val="24"/>
          <w:lang w:val="hr-HR" w:eastAsia="en-US" w:bidi="ar-SA"/>
        </w:rPr>
        <w:t>-01/01</w:t>
      </w:r>
    </w:p>
    <w:p w14:paraId="5394C0AA" w14:textId="485B8665" w:rsidR="00581E62" w:rsidRPr="00DB5C06" w:rsidRDefault="00581E62" w:rsidP="00DB5C06">
      <w:pPr>
        <w:widowControl/>
        <w:autoSpaceDE/>
        <w:autoSpaceDN/>
        <w:ind w:right="5103"/>
        <w:jc w:val="both"/>
        <w:rPr>
          <w:rFonts w:ascii="Times New Roman" w:eastAsia="Calibri" w:hAnsi="Times New Roman" w:cs="Times New Roman"/>
          <w:sz w:val="24"/>
          <w:lang w:val="hr-HR" w:eastAsia="en-US" w:bidi="ar-SA"/>
        </w:rPr>
      </w:pPr>
      <w:r w:rsidRPr="00DB5C06">
        <w:rPr>
          <w:rFonts w:ascii="Times New Roman" w:eastAsia="Calibri" w:hAnsi="Times New Roman" w:cs="Times New Roman"/>
          <w:sz w:val="24"/>
          <w:lang w:val="hr-HR" w:eastAsia="en-US" w:bidi="ar-SA"/>
        </w:rPr>
        <w:t>URBROJ:</w:t>
      </w:r>
      <w:r w:rsidR="00DB5C06">
        <w:rPr>
          <w:rFonts w:ascii="Times New Roman" w:eastAsia="Calibri" w:hAnsi="Times New Roman" w:cs="Times New Roman"/>
          <w:sz w:val="24"/>
          <w:lang w:val="hr-HR" w:eastAsia="en-US" w:bidi="ar-SA"/>
        </w:rPr>
        <w:t>2140-07-02-25-3</w:t>
      </w:r>
    </w:p>
    <w:p w14:paraId="41CA850B" w14:textId="4A1B35B4" w:rsidR="00DB5C06" w:rsidRPr="006F7F69" w:rsidRDefault="00581E62" w:rsidP="006F7F69">
      <w:pPr>
        <w:widowControl/>
        <w:autoSpaceDE/>
        <w:autoSpaceDN/>
        <w:ind w:right="5103"/>
        <w:jc w:val="both"/>
        <w:rPr>
          <w:rFonts w:ascii="Times New Roman" w:eastAsia="Calibri" w:hAnsi="Times New Roman" w:cs="Times New Roman"/>
          <w:sz w:val="24"/>
          <w:lang w:val="hr-HR" w:eastAsia="en-US" w:bidi="ar-SA"/>
        </w:rPr>
      </w:pPr>
      <w:r w:rsidRPr="00DB5C06">
        <w:rPr>
          <w:rFonts w:ascii="Times New Roman" w:eastAsia="Calibri" w:hAnsi="Times New Roman" w:cs="Times New Roman"/>
          <w:sz w:val="24"/>
          <w:lang w:val="hr-HR" w:eastAsia="en-US" w:bidi="ar-SA"/>
        </w:rPr>
        <w:t xml:space="preserve">Zlatar, </w:t>
      </w:r>
    </w:p>
    <w:p w14:paraId="7A62373C" w14:textId="37669B1C" w:rsidR="00DB5C06" w:rsidRDefault="00DB5C06" w:rsidP="00DB5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GRAD ZLATAR</w:t>
      </w:r>
    </w:p>
    <w:p w14:paraId="56FDB79D" w14:textId="1F975960" w:rsidR="00DB5C06" w:rsidRDefault="00DB5C06" w:rsidP="006F7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GRADSKO VIJEĆE</w:t>
      </w:r>
    </w:p>
    <w:p w14:paraId="044E0E0B" w14:textId="77777777" w:rsidR="00DB5C06" w:rsidRDefault="00DB5C06" w:rsidP="00581E62">
      <w:pPr>
        <w:rPr>
          <w:rFonts w:ascii="Times New Roman" w:hAnsi="Times New Roman" w:cs="Times New Roman"/>
          <w:b/>
          <w:sz w:val="24"/>
          <w:szCs w:val="24"/>
        </w:rPr>
      </w:pPr>
    </w:p>
    <w:p w14:paraId="34801EAB" w14:textId="2F9C8EAA" w:rsidR="00581E62" w:rsidRDefault="00581E62" w:rsidP="00581E62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81E62">
        <w:rPr>
          <w:rFonts w:ascii="Times New Roman" w:hAnsi="Times New Roman" w:cs="Times New Roman"/>
          <w:sz w:val="24"/>
          <w:szCs w:val="24"/>
          <w:lang w:val="pl-PL"/>
        </w:rPr>
        <w:t xml:space="preserve">PREDMET: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Odluka o zaduživanju Grada Zlatara </w:t>
      </w:r>
      <w:r w:rsidR="001857B0">
        <w:rPr>
          <w:rFonts w:ascii="Times New Roman" w:hAnsi="Times New Roman" w:cs="Times New Roman"/>
          <w:b/>
          <w:sz w:val="24"/>
          <w:szCs w:val="24"/>
          <w:lang w:val="pl-PL"/>
        </w:rPr>
        <w:t>po principu dopuštenog prekoračenja po transakcijskom računu</w:t>
      </w:r>
    </w:p>
    <w:p w14:paraId="0E6BC38E" w14:textId="04658DD4" w:rsidR="001857B0" w:rsidRPr="00581E62" w:rsidRDefault="001857B0" w:rsidP="00581E62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- </w:t>
      </w:r>
      <w:r w:rsidRPr="001857B0">
        <w:rPr>
          <w:rFonts w:ascii="Times New Roman" w:hAnsi="Times New Roman" w:cs="Times New Roman"/>
          <w:bCs/>
          <w:sz w:val="24"/>
          <w:szCs w:val="24"/>
          <w:lang w:val="pl-PL"/>
        </w:rPr>
        <w:t>prijedlog za donošenje</w:t>
      </w:r>
    </w:p>
    <w:p w14:paraId="3225559F" w14:textId="77777777" w:rsidR="00581E62" w:rsidRPr="00581E62" w:rsidRDefault="00581E62" w:rsidP="00581E62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19A6E1C" w14:textId="3B2B58E3" w:rsidR="00581E62" w:rsidRDefault="00581E62" w:rsidP="00DA59A3">
      <w:pPr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A59A3">
        <w:rPr>
          <w:rFonts w:ascii="Times New Roman" w:hAnsi="Times New Roman" w:cs="Times New Roman"/>
          <w:sz w:val="24"/>
          <w:szCs w:val="24"/>
        </w:rPr>
        <w:tab/>
        <w:t>Temeljem članka 28. Poslovnika Gradskog vijeća Grada Zlatara („Službeni glasnik Krapinsko-zagorske županije“ br. 27/13</w:t>
      </w:r>
      <w:r w:rsidR="001857B0">
        <w:rPr>
          <w:rFonts w:ascii="Times New Roman" w:hAnsi="Times New Roman" w:cs="Times New Roman"/>
          <w:sz w:val="24"/>
          <w:szCs w:val="24"/>
        </w:rPr>
        <w:t>, 17A/21 i 54A/21</w:t>
      </w:r>
      <w:r w:rsidRPr="00DA59A3">
        <w:rPr>
          <w:rFonts w:ascii="Times New Roman" w:hAnsi="Times New Roman" w:cs="Times New Roman"/>
          <w:sz w:val="24"/>
          <w:szCs w:val="24"/>
        </w:rPr>
        <w:t>), dostavlja se na raspravu i usvajanje prijedlog</w:t>
      </w:r>
      <w:r w:rsidRPr="00DA59A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DA59A3">
        <w:rPr>
          <w:rFonts w:ascii="Times New Roman" w:hAnsi="Times New Roman" w:cs="Times New Roman"/>
          <w:sz w:val="24"/>
          <w:szCs w:val="24"/>
          <w:lang w:val="pl-PL"/>
        </w:rPr>
        <w:t xml:space="preserve">Odluke o zaduživanju Grada Zlatara </w:t>
      </w:r>
      <w:r w:rsidR="001857B0">
        <w:rPr>
          <w:rFonts w:ascii="Times New Roman" w:hAnsi="Times New Roman" w:cs="Times New Roman"/>
          <w:sz w:val="24"/>
          <w:szCs w:val="24"/>
          <w:lang w:val="pl-PL"/>
        </w:rPr>
        <w:t>po principu dopuštenog prekoračenja po transakcijskom računu.</w:t>
      </w:r>
    </w:p>
    <w:p w14:paraId="558AE67A" w14:textId="77777777" w:rsidR="001857B0" w:rsidRPr="00DA59A3" w:rsidRDefault="001857B0" w:rsidP="00DA59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7F0F6C" w14:textId="09F0A029" w:rsidR="00581E62" w:rsidRDefault="00581E62" w:rsidP="00DA59A3">
      <w:pPr>
        <w:pStyle w:val="Tijeloteksta"/>
        <w:ind w:left="207"/>
        <w:contextualSpacing/>
        <w:rPr>
          <w:rFonts w:ascii="Times New Roman" w:hAnsi="Times New Roman" w:cs="Times New Roman"/>
          <w:color w:val="131313"/>
          <w:sz w:val="24"/>
          <w:szCs w:val="24"/>
        </w:rPr>
      </w:pPr>
      <w:r w:rsidRPr="00DA59A3">
        <w:rPr>
          <w:rFonts w:ascii="Times New Roman" w:hAnsi="Times New Roman" w:cs="Times New Roman"/>
          <w:sz w:val="24"/>
          <w:szCs w:val="24"/>
        </w:rPr>
        <w:tab/>
      </w:r>
      <w:r w:rsidR="001857B0">
        <w:rPr>
          <w:rFonts w:ascii="Times New Roman" w:hAnsi="Times New Roman" w:cs="Times New Roman"/>
          <w:color w:val="131313"/>
          <w:sz w:val="24"/>
          <w:szCs w:val="24"/>
        </w:rPr>
        <w:t>UVOD</w:t>
      </w:r>
    </w:p>
    <w:p w14:paraId="0B227F08" w14:textId="45AD0EB2" w:rsidR="001857B0" w:rsidRPr="00DA59A3" w:rsidRDefault="001857B0" w:rsidP="00116E37">
      <w:pPr>
        <w:pStyle w:val="Tijeloteksta"/>
        <w:ind w:left="21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 xml:space="preserve">Obzirom na trenutno aktivne projekte većih obuhvatnih zahvata; izgradnja tržnice, izgradnja šumske ceste Jakopići-Črne mlake, dogradnja dječjeg vrtića, izgradnja područnog </w:t>
      </w:r>
      <w:r w:rsidR="00AF48A5">
        <w:rPr>
          <w:rFonts w:ascii="Times New Roman" w:hAnsi="Times New Roman" w:cs="Times New Roman"/>
          <w:color w:val="131313"/>
          <w:sz w:val="24"/>
          <w:szCs w:val="24"/>
        </w:rPr>
        <w:t xml:space="preserve">dječjeg </w:t>
      </w:r>
      <w:r>
        <w:rPr>
          <w:rFonts w:ascii="Times New Roman" w:hAnsi="Times New Roman" w:cs="Times New Roman"/>
          <w:color w:val="131313"/>
          <w:sz w:val="24"/>
          <w:szCs w:val="24"/>
        </w:rPr>
        <w:t>vrtića, očekuje se nesrazmjer između različite dinamike priljeva sredstava od strane EU i dospijeća obveza, stoga je donošenje Odluke o kratkoročnom kreditu</w:t>
      </w:r>
      <w:r w:rsidR="00116E37">
        <w:rPr>
          <w:rFonts w:ascii="Times New Roman" w:hAnsi="Times New Roman" w:cs="Times New Roman"/>
          <w:color w:val="131313"/>
          <w:sz w:val="24"/>
          <w:szCs w:val="24"/>
        </w:rPr>
        <w:t xml:space="preserve"> po principu dopuštenog prekoračenja po transakcijskom računu nužno kako se proračun  Grada Zlatara ne bi dodatno opteretio.</w:t>
      </w:r>
    </w:p>
    <w:p w14:paraId="04F5CE30" w14:textId="341737A2" w:rsidR="00581E62" w:rsidRDefault="00581E62" w:rsidP="00DA59A3">
      <w:pPr>
        <w:pStyle w:val="Tijeloteksta"/>
        <w:ind w:left="146" w:right="224" w:firstLine="72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1DA4E" w14:textId="4322805C" w:rsidR="00116E37" w:rsidRDefault="00116E37" w:rsidP="00DA59A3">
      <w:pPr>
        <w:pStyle w:val="Tijeloteksta"/>
        <w:ind w:left="146" w:right="224" w:firstLine="727"/>
        <w:contextualSpacing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PRAVNI TEMELJ</w:t>
      </w:r>
    </w:p>
    <w:p w14:paraId="01047AFE" w14:textId="0349FE29" w:rsidR="00116E37" w:rsidRDefault="00116E37" w:rsidP="00116E37">
      <w:pPr>
        <w:pStyle w:val="Tijeloteksta"/>
        <w:ind w:left="210" w:firstLine="720"/>
        <w:contextualSpacing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Zaduživanje jedinica lokalne i područne (regionalne) samouprave regulirano je odredbama Zakona o proračunu („Narodne novine“ broj 144/21 – u daljnjem tekstu: Zakon o proračunu.)</w:t>
      </w:r>
    </w:p>
    <w:p w14:paraId="64F3C5ED" w14:textId="410BAD3C" w:rsidR="00581E62" w:rsidRDefault="00116E37" w:rsidP="00116E37">
      <w:pPr>
        <w:pStyle w:val="Tijeloteksta"/>
        <w:ind w:left="210" w:firstLine="720"/>
        <w:contextualSpacing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 xml:space="preserve"> Člankom 119. Zakona o proračunu definiran je način kratkoročnog zaduživanja jedinica lokalne i područne (regionalne) samouprave koj</w:t>
      </w:r>
      <w:r w:rsidR="00AF48A5">
        <w:rPr>
          <w:rFonts w:ascii="Times New Roman" w:hAnsi="Times New Roman" w:cs="Times New Roman"/>
          <w:color w:val="131313"/>
          <w:sz w:val="24"/>
          <w:szCs w:val="24"/>
        </w:rPr>
        <w:t>i</w:t>
      </w:r>
      <w:r>
        <w:rPr>
          <w:rFonts w:ascii="Times New Roman" w:hAnsi="Times New Roman" w:cs="Times New Roman"/>
          <w:color w:val="131313"/>
          <w:sz w:val="24"/>
          <w:szCs w:val="24"/>
        </w:rPr>
        <w:t>m se ista može zadužiti najduže do 12 mjeseci, bez mogućnosti daljnjeg reprograma ili zatvaranja postojećih obveza po kratkoročnim kreditima ili zajmovima uzimanjem novih kratkoročnih kredita ili zajmova.</w:t>
      </w:r>
    </w:p>
    <w:p w14:paraId="7436A23D" w14:textId="1C0CE798" w:rsidR="00116E37" w:rsidRDefault="00116E37" w:rsidP="006F7F69">
      <w:pPr>
        <w:pStyle w:val="Tijeloteksta"/>
        <w:ind w:left="210" w:firstLine="720"/>
        <w:contextualSpacing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Jedinica lokalne i područne (regionalne) samouprave može se kratkoročno zadužiti samo za premošćivanje jaza nastalog zbog različite dinamike priljeva sredstava i dospijeća obveza.</w:t>
      </w:r>
    </w:p>
    <w:p w14:paraId="3E81F486" w14:textId="77777777" w:rsidR="00116E37" w:rsidRPr="00116E37" w:rsidRDefault="00116E37" w:rsidP="00116E37">
      <w:pPr>
        <w:pStyle w:val="Tijeloteksta"/>
        <w:ind w:left="210" w:firstLine="720"/>
        <w:contextualSpacing/>
        <w:jc w:val="both"/>
        <w:rPr>
          <w:rFonts w:ascii="Times New Roman" w:hAnsi="Times New Roman" w:cs="Times New Roman"/>
          <w:color w:val="131313"/>
          <w:sz w:val="24"/>
          <w:szCs w:val="24"/>
        </w:rPr>
      </w:pPr>
    </w:p>
    <w:p w14:paraId="75708C0F" w14:textId="328D174A" w:rsidR="00116E37" w:rsidRDefault="00116E37" w:rsidP="00116E37">
      <w:pPr>
        <w:pStyle w:val="Tijeloteksta"/>
        <w:ind w:left="146" w:right="224" w:firstLine="727"/>
        <w:contextualSpacing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OPĆE ODREDBE</w:t>
      </w:r>
    </w:p>
    <w:p w14:paraId="76FD01AA" w14:textId="3790FB26" w:rsidR="00F5392B" w:rsidRDefault="00116E37" w:rsidP="00116E37">
      <w:pPr>
        <w:pStyle w:val="Tijeloteksta"/>
        <w:ind w:left="210" w:firstLine="720"/>
        <w:contextualSpacing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Grad Zlatar zadužit će se putem kratkoročnog</w:t>
      </w:r>
      <w:r w:rsidR="006F7F69">
        <w:rPr>
          <w:rFonts w:ascii="Times New Roman" w:hAnsi="Times New Roman" w:cs="Times New Roman"/>
          <w:color w:val="131313"/>
          <w:sz w:val="24"/>
          <w:szCs w:val="24"/>
        </w:rPr>
        <w:t xml:space="preserve"> revolving kredita do maksimalnog iznosa od 300.000,00 EUR (tristotisućaeura) kod Hrvatske poštanske banke d.d., iznos kamatne stope 3,60% godišnje, fiksno.</w:t>
      </w:r>
    </w:p>
    <w:p w14:paraId="01712D40" w14:textId="1D1725AC" w:rsidR="006F7F69" w:rsidRDefault="006F7F69" w:rsidP="00116E37">
      <w:pPr>
        <w:pStyle w:val="Tijeloteksta"/>
        <w:ind w:left="210" w:firstLine="720"/>
        <w:contextualSpacing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Rok vraćanja kredita je do 12 mjeseci od dana odobrenja plasmana. Kredit će se koristiti dovođenjem u dopušteno prekoračenje transakcijskog računa Korisnika kredita u Banci.</w:t>
      </w:r>
    </w:p>
    <w:p w14:paraId="616D2F31" w14:textId="4DDA1534" w:rsidR="00DA59A3" w:rsidRDefault="006F7F69" w:rsidP="006F7F69">
      <w:pPr>
        <w:pStyle w:val="Tijeloteksta"/>
        <w:ind w:left="210" w:firstLine="720"/>
        <w:contextualSpacing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Naknada za obradu zahtjeva iznosi 800,00 eura, jednokratno.</w:t>
      </w:r>
    </w:p>
    <w:p w14:paraId="50C9F0F0" w14:textId="77777777" w:rsidR="006F7F69" w:rsidRDefault="006F7F69" w:rsidP="006F7F69">
      <w:pPr>
        <w:pStyle w:val="Tijeloteksta"/>
        <w:ind w:left="210" w:firstLine="720"/>
        <w:contextualSpacing/>
        <w:jc w:val="both"/>
        <w:rPr>
          <w:rFonts w:ascii="Times New Roman" w:hAnsi="Times New Roman" w:cs="Times New Roman"/>
          <w:color w:val="131313"/>
          <w:sz w:val="24"/>
          <w:szCs w:val="24"/>
        </w:rPr>
      </w:pPr>
    </w:p>
    <w:p w14:paraId="717DEA6E" w14:textId="77777777" w:rsidR="00AF48A5" w:rsidRDefault="00AF48A5" w:rsidP="006F7F69">
      <w:pPr>
        <w:pStyle w:val="Tijeloteksta"/>
        <w:ind w:left="210" w:firstLine="720"/>
        <w:contextualSpacing/>
        <w:jc w:val="both"/>
        <w:rPr>
          <w:rFonts w:ascii="Times New Roman" w:hAnsi="Times New Roman" w:cs="Times New Roman"/>
          <w:color w:val="131313"/>
          <w:sz w:val="24"/>
          <w:szCs w:val="24"/>
        </w:rPr>
      </w:pPr>
    </w:p>
    <w:p w14:paraId="29696716" w14:textId="4BA482E5" w:rsidR="006F7F69" w:rsidRDefault="006F7F69" w:rsidP="006F7F69">
      <w:pPr>
        <w:pStyle w:val="Tijeloteksta"/>
        <w:ind w:left="210" w:firstLine="720"/>
        <w:contextualSpacing/>
        <w:jc w:val="center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 xml:space="preserve">                                                                                                      GRADONAČELNICA</w:t>
      </w:r>
    </w:p>
    <w:p w14:paraId="1540F377" w14:textId="77777777" w:rsidR="006F7F69" w:rsidRDefault="006F7F69" w:rsidP="006F7F69">
      <w:pPr>
        <w:pStyle w:val="Tijeloteksta"/>
        <w:ind w:left="210" w:firstLine="720"/>
        <w:contextualSpacing/>
        <w:jc w:val="right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Jasenka Auguštan-Pentek</w:t>
      </w:r>
    </w:p>
    <w:p w14:paraId="204D09CA" w14:textId="77777777" w:rsidR="006F7F69" w:rsidRDefault="006F7F69" w:rsidP="006F7F69">
      <w:pPr>
        <w:pStyle w:val="Tijeloteksta"/>
        <w:ind w:left="210" w:firstLine="720"/>
        <w:contextualSpacing/>
        <w:jc w:val="both"/>
        <w:rPr>
          <w:rFonts w:ascii="Times New Roman" w:hAnsi="Times New Roman" w:cs="Times New Roman"/>
          <w:color w:val="131313"/>
          <w:sz w:val="24"/>
          <w:szCs w:val="24"/>
        </w:rPr>
      </w:pPr>
    </w:p>
    <w:p w14:paraId="2E79B44C" w14:textId="77777777" w:rsidR="00DA59A3" w:rsidRPr="00DA59A3" w:rsidRDefault="00DA59A3" w:rsidP="00DA59A3">
      <w:pPr>
        <w:pStyle w:val="Tijeloteksta"/>
        <w:contextualSpacing/>
        <w:rPr>
          <w:rFonts w:ascii="Times New Roman" w:hAnsi="Times New Roman" w:cs="Times New Roman"/>
          <w:sz w:val="24"/>
          <w:szCs w:val="24"/>
        </w:rPr>
      </w:pPr>
    </w:p>
    <w:sectPr w:rsidR="00DA59A3" w:rsidRPr="00DA59A3" w:rsidSect="00B31813">
      <w:type w:val="continuous"/>
      <w:pgSz w:w="11910" w:h="16830"/>
      <w:pgMar w:top="993" w:right="12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42362"/>
    <w:multiLevelType w:val="hybridMultilevel"/>
    <w:tmpl w:val="39388E8E"/>
    <w:lvl w:ilvl="0" w:tplc="A11E8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0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56"/>
    <w:rsid w:val="000D6556"/>
    <w:rsid w:val="00116E37"/>
    <w:rsid w:val="0012401A"/>
    <w:rsid w:val="001857B0"/>
    <w:rsid w:val="002777E1"/>
    <w:rsid w:val="004940EF"/>
    <w:rsid w:val="00581E62"/>
    <w:rsid w:val="0068291D"/>
    <w:rsid w:val="006A4A25"/>
    <w:rsid w:val="006F7F69"/>
    <w:rsid w:val="007426B1"/>
    <w:rsid w:val="007A1802"/>
    <w:rsid w:val="007F0AB9"/>
    <w:rsid w:val="009773D2"/>
    <w:rsid w:val="00A067AF"/>
    <w:rsid w:val="00A24F0C"/>
    <w:rsid w:val="00A54C45"/>
    <w:rsid w:val="00AB4476"/>
    <w:rsid w:val="00AF48A5"/>
    <w:rsid w:val="00B31813"/>
    <w:rsid w:val="00C35D40"/>
    <w:rsid w:val="00CD7C22"/>
    <w:rsid w:val="00D17D68"/>
    <w:rsid w:val="00DA59A3"/>
    <w:rsid w:val="00DB5C06"/>
    <w:rsid w:val="00F5392B"/>
    <w:rsid w:val="00F7746F"/>
    <w:rsid w:val="00FB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FBB6"/>
  <w15:docId w15:val="{4B9B358F-23A5-4173-A2C0-3C2E2777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 w:eastAsia="bs" w:bidi="bs"/>
    </w:rPr>
  </w:style>
  <w:style w:type="paragraph" w:styleId="Naslov1">
    <w:name w:val="heading 1"/>
    <w:basedOn w:val="Normal"/>
    <w:uiPriority w:val="9"/>
    <w:qFormat/>
    <w:pPr>
      <w:ind w:left="249"/>
      <w:outlineLvl w:val="0"/>
    </w:pPr>
    <w:rPr>
      <w:b/>
      <w:bCs/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1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7C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7C22"/>
    <w:rPr>
      <w:rFonts w:ascii="Segoe UI" w:eastAsia="Arial" w:hAnsi="Segoe UI" w:cs="Segoe UI"/>
      <w:sz w:val="18"/>
      <w:szCs w:val="18"/>
      <w:lang w:val="bs" w:eastAsia="bs" w:bidi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Krušelj</dc:creator>
  <cp:lastModifiedBy>Mirela Škuranec Lesičar</cp:lastModifiedBy>
  <cp:revision>16</cp:revision>
  <cp:lastPrinted>2025-09-19T07:18:00Z</cp:lastPrinted>
  <dcterms:created xsi:type="dcterms:W3CDTF">2018-11-08T10:58:00Z</dcterms:created>
  <dcterms:modified xsi:type="dcterms:W3CDTF">2025-09-22T11:01:00Z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Canon iR-ADV C5051  PDF</vt:lpwstr>
  </property>
  <property fmtid="{D5CDD505-2E9C-101B-9397-08002B2CF9AE}" pid="4" name="LastSaved">
    <vt:filetime>2018-10-15T00:00:00Z</vt:filetime>
  </property>
</Properties>
</file>