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C6F64">
        <w:tblPrEx>
          <w:tblCellMar>
            <w:top w:w="0" w:type="dxa"/>
            <w:bottom w:w="0" w:type="dxa"/>
          </w:tblCellMar>
        </w:tblPrEx>
        <w:trPr>
          <w:tblCellSpacing w:w="60" w:type="dxa"/>
        </w:trPr>
        <w:tc>
          <w:tcPr>
            <w:tcW w:w="1200" w:type="pct"/>
            <w:shd w:val="clear" w:color="auto" w:fill="E7F0F9"/>
          </w:tcPr>
          <w:p w:rsidR="001C6F64" w:rsidRDefault="0068569A">
            <w:pPr>
              <w:spacing w:after="0" w:line="240" w:lineRule="auto"/>
            </w:pPr>
            <w:r>
              <w:rPr>
                <w:b/>
              </w:rPr>
              <w:t>RKP broj</w:t>
            </w:r>
          </w:p>
        </w:tc>
        <w:tc>
          <w:tcPr>
            <w:tcW w:w="0" w:type="auto"/>
            <w:shd w:val="clear" w:color="auto" w:fill="E7F0F9"/>
          </w:tcPr>
          <w:p w:rsidR="001C6F64" w:rsidRDefault="0068569A">
            <w:pPr>
              <w:spacing w:after="0" w:line="240" w:lineRule="auto"/>
            </w:pPr>
            <w:r>
              <w:t>37734</w:t>
            </w:r>
          </w:p>
        </w:tc>
      </w:tr>
      <w:tr w:rsidR="001C6F64">
        <w:tblPrEx>
          <w:tblCellMar>
            <w:top w:w="0" w:type="dxa"/>
            <w:bottom w:w="0" w:type="dxa"/>
          </w:tblCellMar>
        </w:tblPrEx>
        <w:trPr>
          <w:tblCellSpacing w:w="60" w:type="dxa"/>
        </w:trPr>
        <w:tc>
          <w:tcPr>
            <w:tcW w:w="1200" w:type="pct"/>
            <w:shd w:val="clear" w:color="auto" w:fill="E7F0F9"/>
          </w:tcPr>
          <w:p w:rsidR="001C6F64" w:rsidRDefault="0068569A">
            <w:pPr>
              <w:spacing w:after="0" w:line="240" w:lineRule="auto"/>
            </w:pPr>
            <w:r>
              <w:rPr>
                <w:b/>
              </w:rPr>
              <w:t>Naziv obveznika</w:t>
            </w:r>
          </w:p>
        </w:tc>
        <w:tc>
          <w:tcPr>
            <w:tcW w:w="0" w:type="auto"/>
            <w:shd w:val="clear" w:color="auto" w:fill="E7F0F9"/>
          </w:tcPr>
          <w:p w:rsidR="001C6F64" w:rsidRDefault="0068569A">
            <w:pPr>
              <w:spacing w:after="0" w:line="240" w:lineRule="auto"/>
            </w:pPr>
            <w:r>
              <w:t>GRAD ZLATAR</w:t>
            </w:r>
          </w:p>
        </w:tc>
      </w:tr>
      <w:tr w:rsidR="001C6F64">
        <w:tblPrEx>
          <w:tblCellMar>
            <w:top w:w="0" w:type="dxa"/>
            <w:bottom w:w="0" w:type="dxa"/>
          </w:tblCellMar>
        </w:tblPrEx>
        <w:trPr>
          <w:tblCellSpacing w:w="60" w:type="dxa"/>
        </w:trPr>
        <w:tc>
          <w:tcPr>
            <w:tcW w:w="1200" w:type="pct"/>
            <w:shd w:val="clear" w:color="auto" w:fill="E7F0F9"/>
          </w:tcPr>
          <w:p w:rsidR="001C6F64" w:rsidRDefault="0068569A">
            <w:pPr>
              <w:spacing w:after="0" w:line="240" w:lineRule="auto"/>
            </w:pPr>
            <w:r>
              <w:rPr>
                <w:b/>
              </w:rPr>
              <w:t>Razina</w:t>
            </w:r>
          </w:p>
        </w:tc>
        <w:tc>
          <w:tcPr>
            <w:tcW w:w="0" w:type="auto"/>
            <w:shd w:val="clear" w:color="auto" w:fill="E7F0F9"/>
          </w:tcPr>
          <w:p w:rsidR="001C6F64" w:rsidRDefault="0068569A">
            <w:pPr>
              <w:spacing w:after="0" w:line="240" w:lineRule="auto"/>
            </w:pPr>
            <w:r>
              <w:t>23</w:t>
            </w:r>
          </w:p>
        </w:tc>
      </w:tr>
    </w:tbl>
    <w:p w:rsidR="001C6F64" w:rsidRDefault="0068569A">
      <w:r>
        <w:br/>
      </w:r>
    </w:p>
    <w:p w:rsidR="001C6F64" w:rsidRDefault="0068569A">
      <w:pPr>
        <w:spacing w:line="240" w:lineRule="auto"/>
        <w:jc w:val="center"/>
      </w:pPr>
      <w:r>
        <w:rPr>
          <w:b/>
          <w:sz w:val="28"/>
        </w:rPr>
        <w:t>BILJEŠKE UZ FINANCIJSKE IZVJEŠTAJE</w:t>
      </w:r>
    </w:p>
    <w:p w:rsidR="001C6F64" w:rsidRDefault="0068569A">
      <w:pPr>
        <w:spacing w:line="240" w:lineRule="auto"/>
        <w:jc w:val="center"/>
      </w:pPr>
      <w:r>
        <w:rPr>
          <w:b/>
          <w:sz w:val="28"/>
        </w:rPr>
        <w:t>ZA RAZDOBLJE</w:t>
      </w:r>
    </w:p>
    <w:p w:rsidR="001C6F64" w:rsidRDefault="0068569A">
      <w:pPr>
        <w:spacing w:line="240" w:lineRule="auto"/>
        <w:jc w:val="center"/>
      </w:pPr>
      <w:r>
        <w:rPr>
          <w:b/>
          <w:sz w:val="28"/>
        </w:rPr>
        <w:t>I - XII 2025.</w:t>
      </w:r>
    </w:p>
    <w:p w:rsidR="001C6F64" w:rsidRDefault="001C6F64"/>
    <w:p w:rsidR="001C6F64" w:rsidRDefault="0068569A">
      <w:pPr>
        <w:keepNext/>
        <w:spacing w:line="240" w:lineRule="auto"/>
        <w:jc w:val="center"/>
      </w:pPr>
      <w:r>
        <w:rPr>
          <w:b/>
          <w:sz w:val="28"/>
        </w:rPr>
        <w:t>Izvještaj o prihodima i rashodima, primicima i izdacima</w:t>
      </w:r>
    </w:p>
    <w:p w:rsidR="001C6F64" w:rsidRDefault="0068569A">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C6F64">
        <w:tblPrEx>
          <w:tblCellMar>
            <w:top w:w="0" w:type="dxa"/>
            <w:bottom w:w="0" w:type="dxa"/>
          </w:tblCellMar>
        </w:tblPrEx>
        <w:trPr>
          <w:cantSplit/>
        </w:trPr>
        <w:tc>
          <w:tcPr>
            <w:tcW w:w="700" w:type="dxa"/>
            <w:shd w:val="clear" w:color="auto" w:fill="E7F0F9"/>
            <w:tcMar>
              <w:top w:w="0" w:type="dxa"/>
              <w:bottom w:w="0" w:type="dxa"/>
            </w:tcMar>
            <w:vAlign w:val="center"/>
          </w:tcPr>
          <w:p w:rsidR="001C6F64" w:rsidRDefault="0068569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C6F64" w:rsidRDefault="0068569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C6F64" w:rsidRDefault="0068569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C6F64" w:rsidRDefault="0068569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C6F64" w:rsidRDefault="0068569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C6F64" w:rsidRDefault="0068569A">
            <w:pPr>
              <w:keepNext/>
              <w:keepLines/>
              <w:spacing w:after="0" w:line="240" w:lineRule="auto"/>
              <w:jc w:val="center"/>
            </w:pPr>
            <w:r>
              <w:rPr>
                <w:b/>
                <w:sz w:val="18"/>
              </w:rPr>
              <w:t>Indeks (%)</w:t>
            </w:r>
          </w:p>
        </w:tc>
      </w:tr>
      <w:tr w:rsidR="001C6F64">
        <w:tblPrEx>
          <w:tblCellMar>
            <w:top w:w="0" w:type="dxa"/>
            <w:bottom w:w="0" w:type="dxa"/>
          </w:tblCellMar>
        </w:tblPrEx>
        <w:trPr>
          <w:cantSplit/>
          <w:trHeight w:val="560"/>
        </w:trPr>
        <w:tc>
          <w:tcPr>
            <w:tcW w:w="700" w:type="dxa"/>
            <w:tcMar>
              <w:top w:w="0" w:type="dxa"/>
              <w:bottom w:w="0" w:type="dxa"/>
            </w:tcMar>
            <w:vAlign w:val="center"/>
          </w:tcPr>
          <w:p w:rsidR="001C6F64" w:rsidRDefault="0068569A">
            <w:pPr>
              <w:keepNext/>
              <w:keepLines/>
              <w:spacing w:after="0" w:line="240" w:lineRule="auto"/>
            </w:pPr>
            <w:r>
              <w:rPr>
                <w:sz w:val="18"/>
              </w:rPr>
              <w:t>6</w:t>
            </w:r>
          </w:p>
        </w:tc>
        <w:tc>
          <w:tcPr>
            <w:tcW w:w="3180" w:type="dxa"/>
            <w:tcMar>
              <w:top w:w="0" w:type="dxa"/>
              <w:bottom w:w="0" w:type="dxa"/>
            </w:tcMar>
            <w:vAlign w:val="center"/>
          </w:tcPr>
          <w:p w:rsidR="001C6F64" w:rsidRDefault="0068569A">
            <w:pPr>
              <w:keepNext/>
              <w:keepLines/>
              <w:spacing w:after="0" w:line="240" w:lineRule="auto"/>
            </w:pPr>
            <w:r>
              <w:rPr>
                <w:sz w:val="18"/>
              </w:rPr>
              <w:t>PRIHODI POSLOVANJA (šifre 61+62+63+64+65+66+67+68)</w:t>
            </w:r>
          </w:p>
        </w:tc>
        <w:tc>
          <w:tcPr>
            <w:tcW w:w="700" w:type="dxa"/>
            <w:tcMar>
              <w:top w:w="0" w:type="dxa"/>
              <w:bottom w:w="0" w:type="dxa"/>
            </w:tcMar>
            <w:vAlign w:val="center"/>
          </w:tcPr>
          <w:p w:rsidR="001C6F64" w:rsidRDefault="0068569A">
            <w:pPr>
              <w:keepNext/>
              <w:keepLines/>
              <w:spacing w:after="0" w:line="240" w:lineRule="auto"/>
            </w:pPr>
            <w:r>
              <w:rPr>
                <w:sz w:val="18"/>
              </w:rPr>
              <w:t>6</w:t>
            </w:r>
          </w:p>
        </w:tc>
        <w:tc>
          <w:tcPr>
            <w:tcW w:w="1860" w:type="dxa"/>
            <w:tcMar>
              <w:top w:w="0" w:type="dxa"/>
              <w:bottom w:w="0" w:type="dxa"/>
            </w:tcMar>
            <w:vAlign w:val="center"/>
          </w:tcPr>
          <w:p w:rsidR="001C6F64" w:rsidRDefault="0068569A">
            <w:pPr>
              <w:keepNext/>
              <w:keepLines/>
              <w:spacing w:after="0" w:line="240" w:lineRule="auto"/>
              <w:jc w:val="right"/>
            </w:pPr>
            <w:r>
              <w:rPr>
                <w:sz w:val="18"/>
              </w:rPr>
              <w:t>5.130.086,76</w:t>
            </w:r>
          </w:p>
        </w:tc>
        <w:tc>
          <w:tcPr>
            <w:tcW w:w="1860" w:type="dxa"/>
            <w:tcMar>
              <w:top w:w="0" w:type="dxa"/>
              <w:bottom w:w="0" w:type="dxa"/>
            </w:tcMar>
            <w:vAlign w:val="center"/>
          </w:tcPr>
          <w:p w:rsidR="001C6F64" w:rsidRDefault="0068569A">
            <w:pPr>
              <w:keepNext/>
              <w:keepLines/>
              <w:spacing w:after="0" w:line="240" w:lineRule="auto"/>
              <w:jc w:val="right"/>
            </w:pPr>
            <w:r>
              <w:rPr>
                <w:sz w:val="18"/>
              </w:rPr>
              <w:t>6.221.329,71</w:t>
            </w:r>
          </w:p>
        </w:tc>
        <w:tc>
          <w:tcPr>
            <w:tcW w:w="700" w:type="dxa"/>
            <w:tcMar>
              <w:top w:w="0" w:type="dxa"/>
              <w:bottom w:w="0" w:type="dxa"/>
            </w:tcMar>
            <w:vAlign w:val="center"/>
          </w:tcPr>
          <w:p w:rsidR="001C6F64" w:rsidRDefault="0068569A">
            <w:pPr>
              <w:keepNext/>
              <w:keepLines/>
              <w:spacing w:after="0" w:line="240" w:lineRule="auto"/>
              <w:jc w:val="right"/>
            </w:pPr>
            <w:r>
              <w:rPr>
                <w:sz w:val="18"/>
              </w:rPr>
              <w:t>121,3</w:t>
            </w:r>
          </w:p>
        </w:tc>
      </w:tr>
      <w:tr w:rsidR="001C6F64">
        <w:tblPrEx>
          <w:tblCellMar>
            <w:top w:w="0" w:type="dxa"/>
            <w:bottom w:w="0" w:type="dxa"/>
          </w:tblCellMar>
        </w:tblPrEx>
        <w:trPr>
          <w:cantSplit/>
          <w:trHeight w:val="560"/>
        </w:trPr>
        <w:tc>
          <w:tcPr>
            <w:tcW w:w="700" w:type="dxa"/>
            <w:tcMar>
              <w:top w:w="0" w:type="dxa"/>
              <w:bottom w:w="0" w:type="dxa"/>
            </w:tcMar>
            <w:vAlign w:val="center"/>
          </w:tcPr>
          <w:p w:rsidR="001C6F64" w:rsidRDefault="0068569A">
            <w:pPr>
              <w:keepNext/>
              <w:keepLines/>
              <w:spacing w:after="0" w:line="240" w:lineRule="auto"/>
            </w:pPr>
            <w:r>
              <w:rPr>
                <w:sz w:val="18"/>
              </w:rPr>
              <w:t>3</w:t>
            </w:r>
          </w:p>
        </w:tc>
        <w:tc>
          <w:tcPr>
            <w:tcW w:w="3180" w:type="dxa"/>
            <w:tcMar>
              <w:top w:w="0" w:type="dxa"/>
              <w:bottom w:w="0" w:type="dxa"/>
            </w:tcMar>
            <w:vAlign w:val="center"/>
          </w:tcPr>
          <w:p w:rsidR="001C6F64" w:rsidRDefault="0068569A">
            <w:pPr>
              <w:keepNext/>
              <w:keepLines/>
              <w:spacing w:after="0" w:line="240" w:lineRule="auto"/>
            </w:pPr>
            <w:r>
              <w:rPr>
                <w:sz w:val="18"/>
              </w:rPr>
              <w:t>RASHODI POSLOVANJA (šifre 31+32+34+35+36+37+38)</w:t>
            </w:r>
          </w:p>
        </w:tc>
        <w:tc>
          <w:tcPr>
            <w:tcW w:w="700" w:type="dxa"/>
            <w:tcMar>
              <w:top w:w="0" w:type="dxa"/>
              <w:bottom w:w="0" w:type="dxa"/>
            </w:tcMar>
            <w:vAlign w:val="center"/>
          </w:tcPr>
          <w:p w:rsidR="001C6F64" w:rsidRDefault="0068569A">
            <w:pPr>
              <w:keepNext/>
              <w:keepLines/>
              <w:spacing w:after="0" w:line="240" w:lineRule="auto"/>
            </w:pPr>
            <w:r>
              <w:rPr>
                <w:sz w:val="18"/>
              </w:rPr>
              <w:t>3</w:t>
            </w:r>
          </w:p>
        </w:tc>
        <w:tc>
          <w:tcPr>
            <w:tcW w:w="1860" w:type="dxa"/>
            <w:tcMar>
              <w:top w:w="0" w:type="dxa"/>
              <w:bottom w:w="0" w:type="dxa"/>
            </w:tcMar>
            <w:vAlign w:val="center"/>
          </w:tcPr>
          <w:p w:rsidR="001C6F64" w:rsidRDefault="0068569A">
            <w:pPr>
              <w:keepNext/>
              <w:keepLines/>
              <w:spacing w:after="0" w:line="240" w:lineRule="auto"/>
              <w:jc w:val="right"/>
            </w:pPr>
            <w:r>
              <w:rPr>
                <w:sz w:val="18"/>
              </w:rPr>
              <w:t>3.111.391,87</w:t>
            </w:r>
          </w:p>
        </w:tc>
        <w:tc>
          <w:tcPr>
            <w:tcW w:w="1860" w:type="dxa"/>
            <w:tcMar>
              <w:top w:w="0" w:type="dxa"/>
              <w:bottom w:w="0" w:type="dxa"/>
            </w:tcMar>
            <w:vAlign w:val="center"/>
          </w:tcPr>
          <w:p w:rsidR="001C6F64" w:rsidRDefault="0068569A">
            <w:pPr>
              <w:keepNext/>
              <w:keepLines/>
              <w:spacing w:after="0" w:line="240" w:lineRule="auto"/>
              <w:jc w:val="right"/>
            </w:pPr>
            <w:r>
              <w:rPr>
                <w:sz w:val="18"/>
              </w:rPr>
              <w:t>3.862.461,51</w:t>
            </w:r>
          </w:p>
        </w:tc>
        <w:tc>
          <w:tcPr>
            <w:tcW w:w="700" w:type="dxa"/>
            <w:tcMar>
              <w:top w:w="0" w:type="dxa"/>
              <w:bottom w:w="0" w:type="dxa"/>
            </w:tcMar>
            <w:vAlign w:val="center"/>
          </w:tcPr>
          <w:p w:rsidR="001C6F64" w:rsidRDefault="0068569A">
            <w:pPr>
              <w:keepNext/>
              <w:keepLines/>
              <w:spacing w:after="0" w:line="240" w:lineRule="auto"/>
              <w:jc w:val="right"/>
            </w:pPr>
            <w:r>
              <w:rPr>
                <w:sz w:val="18"/>
              </w:rPr>
              <w:t>124,1</w:t>
            </w:r>
          </w:p>
        </w:tc>
      </w:tr>
      <w:tr w:rsidR="001C6F64">
        <w:tblPrEx>
          <w:tblCellMar>
            <w:top w:w="0" w:type="dxa"/>
            <w:bottom w:w="0" w:type="dxa"/>
          </w:tblCellMar>
        </w:tblPrEx>
        <w:trPr>
          <w:cantSplit/>
          <w:trHeight w:val="560"/>
        </w:trPr>
        <w:tc>
          <w:tcPr>
            <w:tcW w:w="700" w:type="dxa"/>
            <w:tcMar>
              <w:top w:w="0" w:type="dxa"/>
              <w:bottom w:w="0" w:type="dxa"/>
            </w:tcMar>
            <w:vAlign w:val="center"/>
          </w:tcPr>
          <w:p w:rsidR="001C6F64" w:rsidRDefault="001C6F64">
            <w:pPr>
              <w:keepNext/>
              <w:keepLines/>
              <w:spacing w:after="0" w:line="240" w:lineRule="auto"/>
            </w:pPr>
          </w:p>
        </w:tc>
        <w:tc>
          <w:tcPr>
            <w:tcW w:w="3180" w:type="dxa"/>
            <w:tcMar>
              <w:top w:w="0" w:type="dxa"/>
              <w:bottom w:w="0" w:type="dxa"/>
            </w:tcMar>
            <w:vAlign w:val="center"/>
          </w:tcPr>
          <w:p w:rsidR="001C6F64" w:rsidRDefault="0068569A">
            <w:pPr>
              <w:keepNext/>
              <w:keepLines/>
              <w:spacing w:after="0" w:line="240" w:lineRule="auto"/>
            </w:pPr>
            <w:r>
              <w:rPr>
                <w:b/>
                <w:sz w:val="18"/>
              </w:rPr>
              <w:t>VIŠAK PRIHODA POSLOVANJA (šifre 6-Z005)</w:t>
            </w:r>
          </w:p>
        </w:tc>
        <w:tc>
          <w:tcPr>
            <w:tcW w:w="700" w:type="dxa"/>
            <w:tcMar>
              <w:top w:w="0" w:type="dxa"/>
              <w:bottom w:w="0" w:type="dxa"/>
            </w:tcMar>
            <w:vAlign w:val="center"/>
          </w:tcPr>
          <w:p w:rsidR="001C6F64" w:rsidRDefault="0068569A">
            <w:pPr>
              <w:keepNext/>
              <w:keepLines/>
              <w:spacing w:after="0" w:line="240" w:lineRule="auto"/>
            </w:pPr>
            <w:r>
              <w:rPr>
                <w:b/>
                <w:sz w:val="18"/>
              </w:rPr>
              <w:t>X001</w:t>
            </w:r>
          </w:p>
        </w:tc>
        <w:tc>
          <w:tcPr>
            <w:tcW w:w="1860" w:type="dxa"/>
            <w:tcMar>
              <w:top w:w="0" w:type="dxa"/>
              <w:bottom w:w="0" w:type="dxa"/>
            </w:tcMar>
            <w:vAlign w:val="center"/>
          </w:tcPr>
          <w:p w:rsidR="001C6F64" w:rsidRDefault="0068569A">
            <w:pPr>
              <w:keepNext/>
              <w:keepLines/>
              <w:spacing w:after="0" w:line="240" w:lineRule="auto"/>
              <w:jc w:val="right"/>
            </w:pPr>
            <w:r>
              <w:rPr>
                <w:b/>
                <w:sz w:val="18"/>
              </w:rPr>
              <w:t>2.018.694,89</w:t>
            </w:r>
          </w:p>
        </w:tc>
        <w:tc>
          <w:tcPr>
            <w:tcW w:w="1860" w:type="dxa"/>
            <w:tcMar>
              <w:top w:w="0" w:type="dxa"/>
              <w:bottom w:w="0" w:type="dxa"/>
            </w:tcMar>
            <w:vAlign w:val="center"/>
          </w:tcPr>
          <w:p w:rsidR="001C6F64" w:rsidRDefault="0068569A">
            <w:pPr>
              <w:keepNext/>
              <w:keepLines/>
              <w:spacing w:after="0" w:line="240" w:lineRule="auto"/>
              <w:jc w:val="right"/>
            </w:pPr>
            <w:r>
              <w:rPr>
                <w:b/>
                <w:sz w:val="18"/>
              </w:rPr>
              <w:t>2.358.868,20</w:t>
            </w:r>
          </w:p>
        </w:tc>
        <w:tc>
          <w:tcPr>
            <w:tcW w:w="700" w:type="dxa"/>
            <w:tcMar>
              <w:top w:w="0" w:type="dxa"/>
              <w:bottom w:w="0" w:type="dxa"/>
            </w:tcMar>
            <w:vAlign w:val="center"/>
          </w:tcPr>
          <w:p w:rsidR="001C6F64" w:rsidRDefault="0068569A">
            <w:pPr>
              <w:keepNext/>
              <w:keepLines/>
              <w:spacing w:after="0" w:line="240" w:lineRule="auto"/>
              <w:jc w:val="right"/>
            </w:pPr>
            <w:r>
              <w:rPr>
                <w:b/>
                <w:sz w:val="18"/>
              </w:rPr>
              <w:t>116,9</w:t>
            </w:r>
          </w:p>
        </w:tc>
      </w:tr>
      <w:tr w:rsidR="001C6F64">
        <w:tblPrEx>
          <w:tblCellMar>
            <w:top w:w="0" w:type="dxa"/>
            <w:bottom w:w="0" w:type="dxa"/>
          </w:tblCellMar>
        </w:tblPrEx>
        <w:trPr>
          <w:cantSplit/>
          <w:trHeight w:val="560"/>
        </w:trPr>
        <w:tc>
          <w:tcPr>
            <w:tcW w:w="700" w:type="dxa"/>
            <w:tcMar>
              <w:top w:w="0" w:type="dxa"/>
              <w:bottom w:w="0" w:type="dxa"/>
            </w:tcMar>
            <w:vAlign w:val="center"/>
          </w:tcPr>
          <w:p w:rsidR="001C6F64" w:rsidRDefault="0068569A">
            <w:pPr>
              <w:keepNext/>
              <w:keepLines/>
              <w:spacing w:after="0" w:line="240" w:lineRule="auto"/>
            </w:pPr>
            <w:r>
              <w:rPr>
                <w:sz w:val="18"/>
              </w:rPr>
              <w:t>7</w:t>
            </w:r>
          </w:p>
        </w:tc>
        <w:tc>
          <w:tcPr>
            <w:tcW w:w="3180" w:type="dxa"/>
            <w:tcMar>
              <w:top w:w="0" w:type="dxa"/>
              <w:bottom w:w="0" w:type="dxa"/>
            </w:tcMar>
            <w:vAlign w:val="center"/>
          </w:tcPr>
          <w:p w:rsidR="001C6F64" w:rsidRDefault="0068569A">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1C6F64" w:rsidRDefault="0068569A">
            <w:pPr>
              <w:keepNext/>
              <w:keepLines/>
              <w:spacing w:after="0" w:line="240" w:lineRule="auto"/>
            </w:pPr>
            <w:r>
              <w:rPr>
                <w:sz w:val="18"/>
              </w:rPr>
              <w:t>7</w:t>
            </w:r>
          </w:p>
        </w:tc>
        <w:tc>
          <w:tcPr>
            <w:tcW w:w="1860" w:type="dxa"/>
            <w:tcMar>
              <w:top w:w="0" w:type="dxa"/>
              <w:bottom w:w="0" w:type="dxa"/>
            </w:tcMar>
            <w:vAlign w:val="center"/>
          </w:tcPr>
          <w:p w:rsidR="001C6F64" w:rsidRDefault="0068569A">
            <w:pPr>
              <w:keepNext/>
              <w:keepLines/>
              <w:spacing w:after="0" w:line="240" w:lineRule="auto"/>
              <w:jc w:val="right"/>
            </w:pPr>
            <w:r>
              <w:rPr>
                <w:sz w:val="18"/>
              </w:rPr>
              <w:t>0,00</w:t>
            </w:r>
          </w:p>
        </w:tc>
        <w:tc>
          <w:tcPr>
            <w:tcW w:w="1860" w:type="dxa"/>
            <w:tcMar>
              <w:top w:w="0" w:type="dxa"/>
              <w:bottom w:w="0" w:type="dxa"/>
            </w:tcMar>
            <w:vAlign w:val="center"/>
          </w:tcPr>
          <w:p w:rsidR="001C6F64" w:rsidRDefault="0068569A">
            <w:pPr>
              <w:keepNext/>
              <w:keepLines/>
              <w:spacing w:after="0" w:line="240" w:lineRule="auto"/>
              <w:jc w:val="right"/>
            </w:pPr>
            <w:r>
              <w:rPr>
                <w:sz w:val="18"/>
              </w:rPr>
              <w:t>768,50</w:t>
            </w:r>
          </w:p>
        </w:tc>
        <w:tc>
          <w:tcPr>
            <w:tcW w:w="700" w:type="dxa"/>
            <w:tcMar>
              <w:top w:w="0" w:type="dxa"/>
              <w:bottom w:w="0" w:type="dxa"/>
            </w:tcMar>
            <w:vAlign w:val="center"/>
          </w:tcPr>
          <w:p w:rsidR="001C6F64" w:rsidRDefault="0068569A">
            <w:pPr>
              <w:keepNext/>
              <w:keepLines/>
              <w:spacing w:after="0" w:line="240" w:lineRule="auto"/>
              <w:jc w:val="right"/>
            </w:pPr>
            <w:r>
              <w:rPr>
                <w:sz w:val="18"/>
              </w:rPr>
              <w:t>-</w:t>
            </w:r>
          </w:p>
        </w:tc>
      </w:tr>
      <w:tr w:rsidR="001C6F64">
        <w:tblPrEx>
          <w:tblCellMar>
            <w:top w:w="0" w:type="dxa"/>
            <w:bottom w:w="0" w:type="dxa"/>
          </w:tblCellMar>
        </w:tblPrEx>
        <w:trPr>
          <w:cantSplit/>
          <w:trHeight w:val="560"/>
        </w:trPr>
        <w:tc>
          <w:tcPr>
            <w:tcW w:w="700" w:type="dxa"/>
            <w:tcMar>
              <w:top w:w="0" w:type="dxa"/>
              <w:bottom w:w="0" w:type="dxa"/>
            </w:tcMar>
            <w:vAlign w:val="center"/>
          </w:tcPr>
          <w:p w:rsidR="001C6F64" w:rsidRDefault="0068569A">
            <w:pPr>
              <w:keepNext/>
              <w:keepLines/>
              <w:spacing w:after="0" w:line="240" w:lineRule="auto"/>
            </w:pPr>
            <w:r>
              <w:rPr>
                <w:sz w:val="18"/>
              </w:rPr>
              <w:t>4</w:t>
            </w:r>
          </w:p>
        </w:tc>
        <w:tc>
          <w:tcPr>
            <w:tcW w:w="3180" w:type="dxa"/>
            <w:tcMar>
              <w:top w:w="0" w:type="dxa"/>
              <w:bottom w:w="0" w:type="dxa"/>
            </w:tcMar>
            <w:vAlign w:val="center"/>
          </w:tcPr>
          <w:p w:rsidR="001C6F64" w:rsidRDefault="0068569A">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1C6F64" w:rsidRDefault="0068569A">
            <w:pPr>
              <w:keepNext/>
              <w:keepLines/>
              <w:spacing w:after="0" w:line="240" w:lineRule="auto"/>
            </w:pPr>
            <w:r>
              <w:rPr>
                <w:sz w:val="18"/>
              </w:rPr>
              <w:t>4</w:t>
            </w:r>
          </w:p>
        </w:tc>
        <w:tc>
          <w:tcPr>
            <w:tcW w:w="1860" w:type="dxa"/>
            <w:tcMar>
              <w:top w:w="0" w:type="dxa"/>
              <w:bottom w:w="0" w:type="dxa"/>
            </w:tcMar>
            <w:vAlign w:val="center"/>
          </w:tcPr>
          <w:p w:rsidR="001C6F64" w:rsidRDefault="0068569A">
            <w:pPr>
              <w:keepNext/>
              <w:keepLines/>
              <w:spacing w:after="0" w:line="240" w:lineRule="auto"/>
              <w:jc w:val="right"/>
            </w:pPr>
            <w:r>
              <w:rPr>
                <w:sz w:val="18"/>
              </w:rPr>
              <w:t>3.659.653,73</w:t>
            </w:r>
          </w:p>
        </w:tc>
        <w:tc>
          <w:tcPr>
            <w:tcW w:w="1860" w:type="dxa"/>
            <w:tcMar>
              <w:top w:w="0" w:type="dxa"/>
              <w:bottom w:w="0" w:type="dxa"/>
            </w:tcMar>
            <w:vAlign w:val="center"/>
          </w:tcPr>
          <w:p w:rsidR="001C6F64" w:rsidRDefault="0068569A">
            <w:pPr>
              <w:keepNext/>
              <w:keepLines/>
              <w:spacing w:after="0" w:line="240" w:lineRule="auto"/>
              <w:jc w:val="right"/>
            </w:pPr>
            <w:r>
              <w:rPr>
                <w:sz w:val="18"/>
              </w:rPr>
              <w:t>2.793.732,51</w:t>
            </w:r>
          </w:p>
        </w:tc>
        <w:tc>
          <w:tcPr>
            <w:tcW w:w="700" w:type="dxa"/>
            <w:tcMar>
              <w:top w:w="0" w:type="dxa"/>
              <w:bottom w:w="0" w:type="dxa"/>
            </w:tcMar>
            <w:vAlign w:val="center"/>
          </w:tcPr>
          <w:p w:rsidR="001C6F64" w:rsidRDefault="0068569A">
            <w:pPr>
              <w:keepNext/>
              <w:keepLines/>
              <w:spacing w:after="0" w:line="240" w:lineRule="auto"/>
              <w:jc w:val="right"/>
            </w:pPr>
            <w:r>
              <w:rPr>
                <w:sz w:val="18"/>
              </w:rPr>
              <w:t>76,3</w:t>
            </w:r>
          </w:p>
        </w:tc>
      </w:tr>
      <w:tr w:rsidR="001C6F64">
        <w:tblPrEx>
          <w:tblCellMar>
            <w:top w:w="0" w:type="dxa"/>
            <w:bottom w:w="0" w:type="dxa"/>
          </w:tblCellMar>
        </w:tblPrEx>
        <w:trPr>
          <w:cantSplit/>
          <w:trHeight w:val="560"/>
        </w:trPr>
        <w:tc>
          <w:tcPr>
            <w:tcW w:w="700" w:type="dxa"/>
            <w:tcMar>
              <w:top w:w="0" w:type="dxa"/>
              <w:bottom w:w="0" w:type="dxa"/>
            </w:tcMar>
            <w:vAlign w:val="center"/>
          </w:tcPr>
          <w:p w:rsidR="001C6F64" w:rsidRDefault="001C6F64">
            <w:pPr>
              <w:keepNext/>
              <w:keepLines/>
              <w:spacing w:after="0" w:line="240" w:lineRule="auto"/>
            </w:pPr>
          </w:p>
        </w:tc>
        <w:tc>
          <w:tcPr>
            <w:tcW w:w="3180" w:type="dxa"/>
            <w:tcMar>
              <w:top w:w="0" w:type="dxa"/>
              <w:bottom w:w="0" w:type="dxa"/>
            </w:tcMar>
            <w:vAlign w:val="center"/>
          </w:tcPr>
          <w:p w:rsidR="001C6F64" w:rsidRDefault="0068569A">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1C6F64" w:rsidRDefault="0068569A">
            <w:pPr>
              <w:keepNext/>
              <w:keepLines/>
              <w:spacing w:after="0" w:line="240" w:lineRule="auto"/>
            </w:pPr>
            <w:r>
              <w:rPr>
                <w:b/>
                <w:sz w:val="18"/>
              </w:rPr>
              <w:t>Y002</w:t>
            </w:r>
          </w:p>
        </w:tc>
        <w:tc>
          <w:tcPr>
            <w:tcW w:w="1860" w:type="dxa"/>
            <w:tcMar>
              <w:top w:w="0" w:type="dxa"/>
              <w:bottom w:w="0" w:type="dxa"/>
            </w:tcMar>
            <w:vAlign w:val="center"/>
          </w:tcPr>
          <w:p w:rsidR="001C6F64" w:rsidRDefault="0068569A">
            <w:pPr>
              <w:keepNext/>
              <w:keepLines/>
              <w:spacing w:after="0" w:line="240" w:lineRule="auto"/>
              <w:jc w:val="right"/>
            </w:pPr>
            <w:r>
              <w:rPr>
                <w:b/>
                <w:sz w:val="18"/>
              </w:rPr>
              <w:t>3.659.653,73</w:t>
            </w:r>
          </w:p>
        </w:tc>
        <w:tc>
          <w:tcPr>
            <w:tcW w:w="1860" w:type="dxa"/>
            <w:tcMar>
              <w:top w:w="0" w:type="dxa"/>
              <w:bottom w:w="0" w:type="dxa"/>
            </w:tcMar>
            <w:vAlign w:val="center"/>
          </w:tcPr>
          <w:p w:rsidR="001C6F64" w:rsidRDefault="0068569A">
            <w:pPr>
              <w:keepNext/>
              <w:keepLines/>
              <w:spacing w:after="0" w:line="240" w:lineRule="auto"/>
              <w:jc w:val="right"/>
            </w:pPr>
            <w:r>
              <w:rPr>
                <w:b/>
                <w:sz w:val="18"/>
              </w:rPr>
              <w:t>2.792.964,01</w:t>
            </w:r>
          </w:p>
        </w:tc>
        <w:tc>
          <w:tcPr>
            <w:tcW w:w="700" w:type="dxa"/>
            <w:tcMar>
              <w:top w:w="0" w:type="dxa"/>
              <w:bottom w:w="0" w:type="dxa"/>
            </w:tcMar>
            <w:vAlign w:val="center"/>
          </w:tcPr>
          <w:p w:rsidR="001C6F64" w:rsidRDefault="0068569A">
            <w:pPr>
              <w:keepNext/>
              <w:keepLines/>
              <w:spacing w:after="0" w:line="240" w:lineRule="auto"/>
              <w:jc w:val="right"/>
            </w:pPr>
            <w:r>
              <w:rPr>
                <w:b/>
                <w:sz w:val="18"/>
              </w:rPr>
              <w:t>76,3</w:t>
            </w:r>
          </w:p>
        </w:tc>
      </w:tr>
      <w:tr w:rsidR="001C6F64">
        <w:tblPrEx>
          <w:tblCellMar>
            <w:top w:w="0" w:type="dxa"/>
            <w:bottom w:w="0" w:type="dxa"/>
          </w:tblCellMar>
        </w:tblPrEx>
        <w:trPr>
          <w:cantSplit/>
          <w:trHeight w:val="560"/>
        </w:trPr>
        <w:tc>
          <w:tcPr>
            <w:tcW w:w="700" w:type="dxa"/>
            <w:tcMar>
              <w:top w:w="0" w:type="dxa"/>
              <w:bottom w:w="0" w:type="dxa"/>
            </w:tcMar>
            <w:vAlign w:val="center"/>
          </w:tcPr>
          <w:p w:rsidR="001C6F64" w:rsidRDefault="0068569A">
            <w:pPr>
              <w:keepNext/>
              <w:keepLines/>
              <w:spacing w:after="0" w:line="240" w:lineRule="auto"/>
            </w:pPr>
            <w:r>
              <w:rPr>
                <w:sz w:val="18"/>
              </w:rPr>
              <w:t>8</w:t>
            </w:r>
          </w:p>
        </w:tc>
        <w:tc>
          <w:tcPr>
            <w:tcW w:w="3180" w:type="dxa"/>
            <w:tcMar>
              <w:top w:w="0" w:type="dxa"/>
              <w:bottom w:w="0" w:type="dxa"/>
            </w:tcMar>
            <w:vAlign w:val="center"/>
          </w:tcPr>
          <w:p w:rsidR="001C6F64" w:rsidRDefault="0068569A">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1C6F64" w:rsidRDefault="0068569A">
            <w:pPr>
              <w:keepNext/>
              <w:keepLines/>
              <w:spacing w:after="0" w:line="240" w:lineRule="auto"/>
            </w:pPr>
            <w:r>
              <w:rPr>
                <w:sz w:val="18"/>
              </w:rPr>
              <w:t>8</w:t>
            </w:r>
          </w:p>
        </w:tc>
        <w:tc>
          <w:tcPr>
            <w:tcW w:w="1860" w:type="dxa"/>
            <w:tcMar>
              <w:top w:w="0" w:type="dxa"/>
              <w:bottom w:w="0" w:type="dxa"/>
            </w:tcMar>
            <w:vAlign w:val="center"/>
          </w:tcPr>
          <w:p w:rsidR="001C6F64" w:rsidRDefault="0068569A">
            <w:pPr>
              <w:keepNext/>
              <w:keepLines/>
              <w:spacing w:after="0" w:line="240" w:lineRule="auto"/>
              <w:jc w:val="right"/>
            </w:pPr>
            <w:r>
              <w:rPr>
                <w:sz w:val="18"/>
              </w:rPr>
              <w:t>1.381.644,11</w:t>
            </w:r>
          </w:p>
        </w:tc>
        <w:tc>
          <w:tcPr>
            <w:tcW w:w="1860" w:type="dxa"/>
            <w:tcMar>
              <w:top w:w="0" w:type="dxa"/>
              <w:bottom w:w="0" w:type="dxa"/>
            </w:tcMar>
            <w:vAlign w:val="center"/>
          </w:tcPr>
          <w:p w:rsidR="001C6F64" w:rsidRDefault="0068569A">
            <w:pPr>
              <w:keepNext/>
              <w:keepLines/>
              <w:spacing w:after="0" w:line="240" w:lineRule="auto"/>
              <w:jc w:val="right"/>
            </w:pPr>
            <w:r>
              <w:rPr>
                <w:sz w:val="18"/>
              </w:rPr>
              <w:t>893.397,39</w:t>
            </w:r>
          </w:p>
        </w:tc>
        <w:tc>
          <w:tcPr>
            <w:tcW w:w="700" w:type="dxa"/>
            <w:tcMar>
              <w:top w:w="0" w:type="dxa"/>
              <w:bottom w:w="0" w:type="dxa"/>
            </w:tcMar>
            <w:vAlign w:val="center"/>
          </w:tcPr>
          <w:p w:rsidR="001C6F64" w:rsidRDefault="0068569A">
            <w:pPr>
              <w:keepNext/>
              <w:keepLines/>
              <w:spacing w:after="0" w:line="240" w:lineRule="auto"/>
              <w:jc w:val="right"/>
            </w:pPr>
            <w:r>
              <w:rPr>
                <w:sz w:val="18"/>
              </w:rPr>
              <w:t>64,7</w:t>
            </w:r>
          </w:p>
        </w:tc>
      </w:tr>
      <w:tr w:rsidR="001C6F64">
        <w:tblPrEx>
          <w:tblCellMar>
            <w:top w:w="0" w:type="dxa"/>
            <w:bottom w:w="0" w:type="dxa"/>
          </w:tblCellMar>
        </w:tblPrEx>
        <w:trPr>
          <w:cantSplit/>
          <w:trHeight w:val="560"/>
        </w:trPr>
        <w:tc>
          <w:tcPr>
            <w:tcW w:w="700" w:type="dxa"/>
            <w:tcMar>
              <w:top w:w="0" w:type="dxa"/>
              <w:bottom w:w="0" w:type="dxa"/>
            </w:tcMar>
            <w:vAlign w:val="center"/>
          </w:tcPr>
          <w:p w:rsidR="001C6F64" w:rsidRDefault="0068569A">
            <w:pPr>
              <w:keepNext/>
              <w:keepLines/>
              <w:spacing w:after="0" w:line="240" w:lineRule="auto"/>
            </w:pPr>
            <w:r>
              <w:rPr>
                <w:sz w:val="18"/>
              </w:rPr>
              <w:t>5</w:t>
            </w:r>
          </w:p>
        </w:tc>
        <w:tc>
          <w:tcPr>
            <w:tcW w:w="3180" w:type="dxa"/>
            <w:tcMar>
              <w:top w:w="0" w:type="dxa"/>
              <w:bottom w:w="0" w:type="dxa"/>
            </w:tcMar>
            <w:vAlign w:val="center"/>
          </w:tcPr>
          <w:p w:rsidR="001C6F64" w:rsidRDefault="0068569A">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1C6F64" w:rsidRDefault="0068569A">
            <w:pPr>
              <w:keepNext/>
              <w:keepLines/>
              <w:spacing w:after="0" w:line="240" w:lineRule="auto"/>
            </w:pPr>
            <w:r>
              <w:rPr>
                <w:sz w:val="18"/>
              </w:rPr>
              <w:t>5</w:t>
            </w:r>
          </w:p>
        </w:tc>
        <w:tc>
          <w:tcPr>
            <w:tcW w:w="1860" w:type="dxa"/>
            <w:tcMar>
              <w:top w:w="0" w:type="dxa"/>
              <w:bottom w:w="0" w:type="dxa"/>
            </w:tcMar>
            <w:vAlign w:val="center"/>
          </w:tcPr>
          <w:p w:rsidR="001C6F64" w:rsidRDefault="0068569A">
            <w:pPr>
              <w:keepNext/>
              <w:keepLines/>
              <w:spacing w:after="0" w:line="240" w:lineRule="auto"/>
              <w:jc w:val="right"/>
            </w:pPr>
            <w:r>
              <w:rPr>
                <w:sz w:val="18"/>
              </w:rPr>
              <w:t>120.193,31</w:t>
            </w:r>
          </w:p>
        </w:tc>
        <w:tc>
          <w:tcPr>
            <w:tcW w:w="1860" w:type="dxa"/>
            <w:tcMar>
              <w:top w:w="0" w:type="dxa"/>
              <w:bottom w:w="0" w:type="dxa"/>
            </w:tcMar>
            <w:vAlign w:val="center"/>
          </w:tcPr>
          <w:p w:rsidR="001C6F64" w:rsidRDefault="0068569A">
            <w:pPr>
              <w:keepNext/>
              <w:keepLines/>
              <w:spacing w:after="0" w:line="240" w:lineRule="auto"/>
              <w:jc w:val="right"/>
            </w:pPr>
            <w:r>
              <w:rPr>
                <w:sz w:val="18"/>
              </w:rPr>
              <w:t>120.193,32</w:t>
            </w:r>
          </w:p>
        </w:tc>
        <w:tc>
          <w:tcPr>
            <w:tcW w:w="700" w:type="dxa"/>
            <w:tcMar>
              <w:top w:w="0" w:type="dxa"/>
              <w:bottom w:w="0" w:type="dxa"/>
            </w:tcMar>
            <w:vAlign w:val="center"/>
          </w:tcPr>
          <w:p w:rsidR="001C6F64" w:rsidRDefault="0068569A">
            <w:pPr>
              <w:keepNext/>
              <w:keepLines/>
              <w:spacing w:after="0" w:line="240" w:lineRule="auto"/>
              <w:jc w:val="right"/>
            </w:pPr>
            <w:r>
              <w:rPr>
                <w:sz w:val="18"/>
              </w:rPr>
              <w:t>100,0</w:t>
            </w:r>
          </w:p>
        </w:tc>
      </w:tr>
      <w:tr w:rsidR="001C6F64">
        <w:tblPrEx>
          <w:tblCellMar>
            <w:top w:w="0" w:type="dxa"/>
            <w:bottom w:w="0" w:type="dxa"/>
          </w:tblCellMar>
        </w:tblPrEx>
        <w:trPr>
          <w:cantSplit/>
          <w:trHeight w:val="560"/>
        </w:trPr>
        <w:tc>
          <w:tcPr>
            <w:tcW w:w="700" w:type="dxa"/>
            <w:tcMar>
              <w:top w:w="0" w:type="dxa"/>
              <w:bottom w:w="0" w:type="dxa"/>
            </w:tcMar>
            <w:vAlign w:val="center"/>
          </w:tcPr>
          <w:p w:rsidR="001C6F64" w:rsidRDefault="001C6F64">
            <w:pPr>
              <w:keepNext/>
              <w:keepLines/>
              <w:spacing w:after="0" w:line="240" w:lineRule="auto"/>
            </w:pPr>
          </w:p>
        </w:tc>
        <w:tc>
          <w:tcPr>
            <w:tcW w:w="3180" w:type="dxa"/>
            <w:tcMar>
              <w:top w:w="0" w:type="dxa"/>
              <w:bottom w:w="0" w:type="dxa"/>
            </w:tcMar>
            <w:vAlign w:val="center"/>
          </w:tcPr>
          <w:p w:rsidR="001C6F64" w:rsidRDefault="0068569A">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rsidR="001C6F64" w:rsidRDefault="0068569A">
            <w:pPr>
              <w:keepNext/>
              <w:keepLines/>
              <w:spacing w:after="0" w:line="240" w:lineRule="auto"/>
            </w:pPr>
            <w:r>
              <w:rPr>
                <w:b/>
                <w:sz w:val="18"/>
              </w:rPr>
              <w:t>X003</w:t>
            </w:r>
          </w:p>
        </w:tc>
        <w:tc>
          <w:tcPr>
            <w:tcW w:w="1860" w:type="dxa"/>
            <w:tcMar>
              <w:top w:w="0" w:type="dxa"/>
              <w:bottom w:w="0" w:type="dxa"/>
            </w:tcMar>
            <w:vAlign w:val="center"/>
          </w:tcPr>
          <w:p w:rsidR="001C6F64" w:rsidRDefault="0068569A">
            <w:pPr>
              <w:keepNext/>
              <w:keepLines/>
              <w:spacing w:after="0" w:line="240" w:lineRule="auto"/>
              <w:jc w:val="right"/>
            </w:pPr>
            <w:r>
              <w:rPr>
                <w:b/>
                <w:sz w:val="18"/>
              </w:rPr>
              <w:t>1.261.450,80</w:t>
            </w:r>
          </w:p>
        </w:tc>
        <w:tc>
          <w:tcPr>
            <w:tcW w:w="1860" w:type="dxa"/>
            <w:tcMar>
              <w:top w:w="0" w:type="dxa"/>
              <w:bottom w:w="0" w:type="dxa"/>
            </w:tcMar>
            <w:vAlign w:val="center"/>
          </w:tcPr>
          <w:p w:rsidR="001C6F64" w:rsidRDefault="0068569A">
            <w:pPr>
              <w:keepNext/>
              <w:keepLines/>
              <w:spacing w:after="0" w:line="240" w:lineRule="auto"/>
              <w:jc w:val="right"/>
            </w:pPr>
            <w:r>
              <w:rPr>
                <w:b/>
                <w:sz w:val="18"/>
              </w:rPr>
              <w:t>773.204,07</w:t>
            </w:r>
          </w:p>
        </w:tc>
        <w:tc>
          <w:tcPr>
            <w:tcW w:w="700" w:type="dxa"/>
            <w:tcMar>
              <w:top w:w="0" w:type="dxa"/>
              <w:bottom w:w="0" w:type="dxa"/>
            </w:tcMar>
            <w:vAlign w:val="center"/>
          </w:tcPr>
          <w:p w:rsidR="001C6F64" w:rsidRDefault="0068569A">
            <w:pPr>
              <w:keepNext/>
              <w:keepLines/>
              <w:spacing w:after="0" w:line="240" w:lineRule="auto"/>
              <w:jc w:val="right"/>
            </w:pPr>
            <w:r>
              <w:rPr>
                <w:b/>
                <w:sz w:val="18"/>
              </w:rPr>
              <w:t>61,3</w:t>
            </w:r>
          </w:p>
        </w:tc>
      </w:tr>
      <w:tr w:rsidR="001C6F64">
        <w:tblPrEx>
          <w:tblCellMar>
            <w:top w:w="0" w:type="dxa"/>
            <w:bottom w:w="0" w:type="dxa"/>
          </w:tblCellMar>
        </w:tblPrEx>
        <w:trPr>
          <w:cantSplit/>
          <w:trHeight w:val="560"/>
        </w:trPr>
        <w:tc>
          <w:tcPr>
            <w:tcW w:w="700" w:type="dxa"/>
            <w:tcMar>
              <w:top w:w="0" w:type="dxa"/>
              <w:bottom w:w="0" w:type="dxa"/>
            </w:tcMar>
            <w:vAlign w:val="center"/>
          </w:tcPr>
          <w:p w:rsidR="001C6F64" w:rsidRDefault="001C6F64">
            <w:pPr>
              <w:keepNext/>
              <w:keepLines/>
              <w:spacing w:after="0" w:line="240" w:lineRule="auto"/>
            </w:pPr>
          </w:p>
        </w:tc>
        <w:tc>
          <w:tcPr>
            <w:tcW w:w="3180" w:type="dxa"/>
            <w:tcMar>
              <w:top w:w="0" w:type="dxa"/>
              <w:bottom w:w="0" w:type="dxa"/>
            </w:tcMar>
            <w:vAlign w:val="center"/>
          </w:tcPr>
          <w:p w:rsidR="001C6F64" w:rsidRDefault="0068569A">
            <w:pPr>
              <w:keepNext/>
              <w:keepLines/>
              <w:spacing w:after="0" w:line="240" w:lineRule="auto"/>
            </w:pPr>
            <w:r>
              <w:rPr>
                <w:b/>
                <w:sz w:val="18"/>
              </w:rPr>
              <w:t>VIŠAK PRIHODA I PRIMITAKA (šifre X678-Y345)</w:t>
            </w:r>
          </w:p>
        </w:tc>
        <w:tc>
          <w:tcPr>
            <w:tcW w:w="700" w:type="dxa"/>
            <w:tcMar>
              <w:top w:w="0" w:type="dxa"/>
              <w:bottom w:w="0" w:type="dxa"/>
            </w:tcMar>
            <w:vAlign w:val="center"/>
          </w:tcPr>
          <w:p w:rsidR="001C6F64" w:rsidRDefault="0068569A">
            <w:pPr>
              <w:keepNext/>
              <w:keepLines/>
              <w:spacing w:after="0" w:line="240" w:lineRule="auto"/>
            </w:pPr>
            <w:r>
              <w:rPr>
                <w:b/>
                <w:sz w:val="18"/>
              </w:rPr>
              <w:t>X005</w:t>
            </w:r>
          </w:p>
        </w:tc>
        <w:tc>
          <w:tcPr>
            <w:tcW w:w="1860" w:type="dxa"/>
            <w:tcMar>
              <w:top w:w="0" w:type="dxa"/>
              <w:bottom w:w="0" w:type="dxa"/>
            </w:tcMar>
            <w:vAlign w:val="center"/>
          </w:tcPr>
          <w:p w:rsidR="001C6F64" w:rsidRDefault="0068569A">
            <w:pPr>
              <w:keepNext/>
              <w:keepLines/>
              <w:spacing w:after="0" w:line="240" w:lineRule="auto"/>
              <w:jc w:val="right"/>
            </w:pPr>
            <w:r>
              <w:rPr>
                <w:b/>
                <w:sz w:val="18"/>
              </w:rPr>
              <w:t>0,00</w:t>
            </w:r>
          </w:p>
        </w:tc>
        <w:tc>
          <w:tcPr>
            <w:tcW w:w="1860" w:type="dxa"/>
            <w:tcMar>
              <w:top w:w="0" w:type="dxa"/>
              <w:bottom w:w="0" w:type="dxa"/>
            </w:tcMar>
            <w:vAlign w:val="center"/>
          </w:tcPr>
          <w:p w:rsidR="001C6F64" w:rsidRDefault="0068569A">
            <w:pPr>
              <w:keepNext/>
              <w:keepLines/>
              <w:spacing w:after="0" w:line="240" w:lineRule="auto"/>
              <w:jc w:val="right"/>
            </w:pPr>
            <w:r>
              <w:rPr>
                <w:b/>
                <w:sz w:val="18"/>
              </w:rPr>
              <w:t>339.108,26</w:t>
            </w:r>
          </w:p>
        </w:tc>
        <w:tc>
          <w:tcPr>
            <w:tcW w:w="700" w:type="dxa"/>
            <w:tcMar>
              <w:top w:w="0" w:type="dxa"/>
              <w:bottom w:w="0" w:type="dxa"/>
            </w:tcMar>
            <w:vAlign w:val="center"/>
          </w:tcPr>
          <w:p w:rsidR="001C6F64" w:rsidRDefault="0068569A">
            <w:pPr>
              <w:keepNext/>
              <w:keepLines/>
              <w:spacing w:after="0" w:line="240" w:lineRule="auto"/>
              <w:jc w:val="right"/>
            </w:pPr>
            <w:r>
              <w:rPr>
                <w:b/>
                <w:sz w:val="18"/>
              </w:rPr>
              <w:t>-</w:t>
            </w:r>
          </w:p>
        </w:tc>
      </w:tr>
    </w:tbl>
    <w:p w:rsidR="001C6F64" w:rsidRDefault="001C6F64">
      <w:pPr>
        <w:spacing w:after="0"/>
      </w:pPr>
    </w:p>
    <w:p w:rsidR="001C6F64" w:rsidRDefault="0068569A">
      <w:r>
        <w:t>Ukupni konsolidirani prihodi i primici Grada Zlatara sa proračunskim korisnicima Galerijom izvorne umjetnosti Zlatar, Gradskom knjižnicom Zlatar, Pučkim otvorenim učilištem dr. Jurja Žerjavića Zlatar i  Dječjim vrtićem i jaslicama Zlatarsko zlato, ostvareni u razdoblju od 1. siječnja od 31. prosinca 2025. godine iznosili su 7.115.495,60 €, odnosno 9,3 % ili 603.764,73 € više nego prethodne 2024. godine. Na rast prihoda poslovanja u promatranom razdoblju najvećim je dijelom utjecalo uvećanje prihoda od porez</w:t>
      </w:r>
      <w:r>
        <w:t xml:space="preserve">a na dohodak, prihoda od </w:t>
      </w:r>
      <w:r>
        <w:lastRenderedPageBreak/>
        <w:t>poreza na robu i usluge, prihoda od pomoći od izvanproračunskih korisnika,  prihoda od pomoći proračunskim korisnicima iz proračuna koji im nije nadležan, prihoda od pomoći temeljem prijenosa EU sredstava, povećanje prihoda po posebnim propisima, prihoda od donacija od pravnih i fizičkih osoba izvan općeg proračuna te povrat donacija i kapitalnih pomoći po protestiranim jamstvima te prihoda od pomoći fiskalnog izravnanja dok kod proračunskih korisnika najveći rast prihoda bilježi Ga</w:t>
      </w:r>
      <w:r>
        <w:t>lerija izvorne umjetnosti Zlatar koja bilježi porast prihoda iz nadležnog proračuna za financiranje rashoda poslovanja zbog financiranja većeg broja izložbi u izvještajnom razdoblju i povećanja cijena roba i usluga na tržištu. Nadalje Dječji vrtić i jaslice Zlatarsko zlato bilježe rast prihoda poslovanja zbog uvećanja prihoda od uplata roditelja za usluge dječjeg vrtića, rasta prihoda od tekućih donacija te uvećanje prihoda iz nadležnog proračuna za financiranje redovne djelatnosti.  Pučko otvoreno učilište</w:t>
      </w:r>
      <w:r>
        <w:t xml:space="preserve"> dr. Jurja Žerjavića Zlatar ostvarilo je porast prihoda iz nadležnog proračuna, državnog proračuna, proračuna jedinica regionalne samouprave, prihoda od donacija izvan općeg proračuna te prihoda od usluga a za financiranje povećanih cijena roba i usluga na tržištu, zbog rasta osnovice za obračun plaće te zbog održavanja većeg broja kulturnih manifestacija u 2025. godini. Gradska knjižnica Zlatar u 2025. godini ostvarila je prihode poslovanja na istom nivou u odnosu na isto razdoblje prethodne 2024. godine, </w:t>
      </w:r>
      <w:r>
        <w:t>a prihodi se sastoje od kapitalne pomoći iz nenadležnog državnog proračuna i nenadležnog proračuna jedinice regionalne samouprave, prihoda od pruženih usluga te prihoda iz nadležnog proračuna grada Zlatara za financiranje rashoda poslovanja.</w:t>
      </w:r>
    </w:p>
    <w:p w:rsidR="001C6F64" w:rsidRDefault="0068569A">
      <w:r>
        <w:t>Ukupni konsolidirani rashodi i izdaci su iznosili 6.776.387,34 € što je za 1,7% ili 114.851,57 € manje rashoda nego prošle godine. Rashodi poslovanja su rasli, a na to su utjecali povećanje rashoda za plaće zaposlenika, povećanje rashoda za naknade troškova zaposlenima,  povećanje rashoda za materijal i energiju, povećanje ostalih nespomenutih rashoda poslovanja, povećanje rashoda za kamate za primljene kredite i zajmove, povećanje rashoda za pomoći drugom proračunu i izvanproračunskim korisnicima, povećanj</w:t>
      </w:r>
      <w:r>
        <w:t>e rashoda za ostale naknade građanima  i kućanstvima iz proračuna te povećanje rashoda za tekuće donacije dok su rashodi za nabavu nefinancijske imovine umanjeni za 23,7%. Proračunski korisnici također bilježe rast rashoda, a najvećim dijelom povećanje rashoda za plaće za zaposlene, doprinosa na plaće, naknade troškova zaposlenima, rashode za materijal i energiju, rashoda za usluge, ostalih nespomenutih rashoda poslovanja i ostalih financijskih rashoda.</w:t>
      </w:r>
    </w:p>
    <w:p w:rsidR="001C6F64" w:rsidRDefault="0068569A">
      <w:r>
        <w:t>Ostvareni je konsolidirani višak prihoda u iznosu od 339.108,26 €. Višak prihoda iz prethodnog razdoblja iznosi 48.196,18 €, tako da se u sljedeće razdoblje prenosi višak u iznosu od 387.304,44 €.</w:t>
      </w:r>
    </w:p>
    <w:p w:rsidR="001C6F64" w:rsidRDefault="0068569A">
      <w:r>
        <w:t> </w:t>
      </w:r>
    </w:p>
    <w:p w:rsidR="001C6F64" w:rsidRDefault="0068569A">
      <w:r>
        <w:br/>
      </w:r>
    </w:p>
    <w:p w:rsidR="001C6F64" w:rsidRDefault="0068569A">
      <w:pPr>
        <w:keepNext/>
        <w:spacing w:line="240" w:lineRule="auto"/>
        <w:jc w:val="center"/>
      </w:pPr>
      <w:r>
        <w:rPr>
          <w:b/>
          <w:sz w:val="28"/>
        </w:rPr>
        <w:lastRenderedPageBreak/>
        <w:t>Izvještaj o obvezama</w:t>
      </w:r>
    </w:p>
    <w:p w:rsidR="001C6F64" w:rsidRDefault="0068569A">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C6F64">
        <w:tblPrEx>
          <w:tblCellMar>
            <w:top w:w="0" w:type="dxa"/>
            <w:bottom w:w="0" w:type="dxa"/>
          </w:tblCellMar>
        </w:tblPrEx>
        <w:trPr>
          <w:cantSplit/>
        </w:trPr>
        <w:tc>
          <w:tcPr>
            <w:tcW w:w="700" w:type="dxa"/>
            <w:shd w:val="clear" w:color="auto" w:fill="E7F0F9"/>
            <w:tcMar>
              <w:top w:w="0" w:type="dxa"/>
              <w:bottom w:w="0" w:type="dxa"/>
            </w:tcMar>
            <w:vAlign w:val="center"/>
          </w:tcPr>
          <w:p w:rsidR="001C6F64" w:rsidRDefault="0068569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C6F64" w:rsidRDefault="0068569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C6F64" w:rsidRDefault="0068569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C6F64" w:rsidRDefault="0068569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C6F64" w:rsidRDefault="0068569A">
            <w:pPr>
              <w:keepNext/>
              <w:keepLines/>
              <w:spacing w:after="0" w:line="240" w:lineRule="auto"/>
              <w:jc w:val="center"/>
            </w:pPr>
            <w:r>
              <w:rPr>
                <w:b/>
                <w:sz w:val="18"/>
              </w:rPr>
              <w:t>Indeks (%)</w:t>
            </w:r>
          </w:p>
        </w:tc>
      </w:tr>
      <w:tr w:rsidR="001C6F64">
        <w:tblPrEx>
          <w:tblCellMar>
            <w:top w:w="0" w:type="dxa"/>
            <w:bottom w:w="0" w:type="dxa"/>
          </w:tblCellMar>
        </w:tblPrEx>
        <w:trPr>
          <w:cantSplit/>
          <w:trHeight w:val="560"/>
        </w:trPr>
        <w:tc>
          <w:tcPr>
            <w:tcW w:w="700" w:type="dxa"/>
            <w:tcMar>
              <w:top w:w="0" w:type="dxa"/>
              <w:bottom w:w="0" w:type="dxa"/>
            </w:tcMar>
            <w:vAlign w:val="center"/>
          </w:tcPr>
          <w:p w:rsidR="001C6F64" w:rsidRDefault="001C6F64">
            <w:pPr>
              <w:keepNext/>
              <w:keepLines/>
              <w:spacing w:after="0" w:line="240" w:lineRule="auto"/>
            </w:pPr>
          </w:p>
        </w:tc>
        <w:tc>
          <w:tcPr>
            <w:tcW w:w="3180" w:type="dxa"/>
            <w:tcMar>
              <w:top w:w="0" w:type="dxa"/>
              <w:bottom w:w="0" w:type="dxa"/>
            </w:tcMar>
            <w:vAlign w:val="center"/>
          </w:tcPr>
          <w:p w:rsidR="001C6F64" w:rsidRDefault="0068569A">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1C6F64" w:rsidRDefault="0068569A">
            <w:pPr>
              <w:keepNext/>
              <w:keepLines/>
              <w:spacing w:after="0" w:line="240" w:lineRule="auto"/>
            </w:pPr>
            <w:r>
              <w:rPr>
                <w:sz w:val="18"/>
              </w:rPr>
              <w:t>V007</w:t>
            </w:r>
          </w:p>
        </w:tc>
        <w:tc>
          <w:tcPr>
            <w:tcW w:w="1860" w:type="dxa"/>
            <w:tcMar>
              <w:top w:w="0" w:type="dxa"/>
              <w:bottom w:w="0" w:type="dxa"/>
            </w:tcMar>
            <w:vAlign w:val="center"/>
          </w:tcPr>
          <w:p w:rsidR="001C6F64" w:rsidRDefault="0068569A">
            <w:pPr>
              <w:keepNext/>
              <w:keepLines/>
              <w:spacing w:after="0" w:line="240" w:lineRule="auto"/>
              <w:jc w:val="right"/>
            </w:pPr>
            <w:r>
              <w:rPr>
                <w:sz w:val="18"/>
              </w:rPr>
              <w:t>43.631,24</w:t>
            </w:r>
          </w:p>
        </w:tc>
        <w:tc>
          <w:tcPr>
            <w:tcW w:w="700" w:type="dxa"/>
            <w:tcMar>
              <w:top w:w="0" w:type="dxa"/>
              <w:bottom w:w="0" w:type="dxa"/>
            </w:tcMar>
            <w:vAlign w:val="center"/>
          </w:tcPr>
          <w:p w:rsidR="001C6F64" w:rsidRDefault="0068569A">
            <w:pPr>
              <w:keepNext/>
              <w:keepLines/>
              <w:spacing w:after="0" w:line="240" w:lineRule="auto"/>
              <w:jc w:val="right"/>
            </w:pPr>
            <w:r>
              <w:rPr>
                <w:sz w:val="18"/>
              </w:rPr>
              <w:t>-</w:t>
            </w:r>
          </w:p>
        </w:tc>
      </w:tr>
    </w:tbl>
    <w:p w:rsidR="001C6F64" w:rsidRDefault="001C6F64">
      <w:pPr>
        <w:spacing w:after="0"/>
      </w:pPr>
    </w:p>
    <w:p w:rsidR="001C6F64" w:rsidRDefault="0068569A">
      <w:r>
        <w:t xml:space="preserve">Povećanje obveza u izvještajnom razdoblju iznosi 6.948.276,55 €, a isto se sastoji od obveza za rashode poslovanja, obveza za nabavu nefinancijske imovine, obveza za financijsku imovinu te obveza za predujmove, depozite, </w:t>
      </w:r>
      <w:proofErr w:type="spellStart"/>
      <w:r>
        <w:t>jamčevne</w:t>
      </w:r>
      <w:proofErr w:type="spellEnd"/>
      <w:r>
        <w:t xml:space="preserve"> </w:t>
      </w:r>
      <w:proofErr w:type="spellStart"/>
      <w:r>
        <w:t>pologe</w:t>
      </w:r>
      <w:proofErr w:type="spellEnd"/>
      <w:r>
        <w:t xml:space="preserve"> i tuđe prihode dok je početno stanje 01.01.2025. godine 2.240.876,75 € što čini ukupno 9.189.153,30 € obveza. U izvještajnom razdoblju podmirene su obveze u ukupnom iznosu od 5.944.993,86 € te na kraju izvještajnog razdoblja tj. sa 31.12.2025. godine stanje obveza iznosi 3.244.159,44 €.  Dospjele obveze na kraju izvještajnog razdoblja su evidentirane u iznosu od 43.631,24 € - odnose na obveze Grada Zlatara u iznosu od 43.575,09 € te na obveze Dječjeg vrtića i jaslica Zlatarsko zlato u iznosu</w:t>
      </w:r>
      <w:r>
        <w:t xml:space="preserve"> od 56,15 €. Ostali proračunski korisnici nemaju dospjelih obveza, dok iznos nedospjelih obveza iznosi 3.200.528,20 € i to za obveze za rashode poslovanja, nabavu nefinancijske imovine, obveze za financijsku imovinu i obveze za predujmove, depozite, </w:t>
      </w:r>
      <w:proofErr w:type="spellStart"/>
      <w:r>
        <w:t>jamčevne</w:t>
      </w:r>
      <w:proofErr w:type="spellEnd"/>
      <w:r>
        <w:t xml:space="preserve"> </w:t>
      </w:r>
      <w:proofErr w:type="spellStart"/>
      <w:r>
        <w:t>pologe</w:t>
      </w:r>
      <w:proofErr w:type="spellEnd"/>
      <w:r>
        <w:t xml:space="preserve"> i tuđe prihode.</w:t>
      </w:r>
    </w:p>
    <w:p w:rsidR="001C6F64" w:rsidRDefault="001C6F64"/>
    <w:p w:rsidR="001C6F64" w:rsidRDefault="0068569A">
      <w:pPr>
        <w:keepNext/>
        <w:spacing w:line="240" w:lineRule="auto"/>
        <w:jc w:val="center"/>
      </w:pPr>
      <w:r>
        <w:rPr>
          <w:sz w:val="28"/>
        </w:rPr>
        <w:t>Bilješka 3.</w:t>
      </w:r>
    </w:p>
    <w:p w:rsidR="001C6F64" w:rsidRDefault="0068569A">
      <w:pPr>
        <w:spacing w:line="240" w:lineRule="auto"/>
        <w:jc w:val="both"/>
      </w:pPr>
      <w:r>
        <w:rPr>
          <w:b/>
        </w:rPr>
        <w:t xml:space="preserve">Manjak ili višak u poslovanju grupe i pregled strukture manjka/viška po proračunskim korisnicima </w:t>
      </w:r>
    </w:p>
    <w:p w:rsidR="001C6F64" w:rsidRDefault="0068569A">
      <w:r>
        <w:t>Ukupno konsolidirani višak prihoda i primitaka nad rashodima i izdacima na kraju izvještajnog razdoblja 31.12.2025. godine iznosi 339.108,26 € što sa prenesenim viškom iz prethodnog razdoblja u iznosu od 48.196,18 € daje višak za prijenos u naredno razdoblje u ukupnom iznosu od 387.304,44 €.</w:t>
      </w:r>
    </w:p>
    <w:p w:rsidR="001C6F64" w:rsidRDefault="0068569A">
      <w:r>
        <w:t>Rezultat proračuna i proračunskih korisnika na kraju izvještajnog razdoblja 31.12.2025. godine iznosi:</w:t>
      </w:r>
    </w:p>
    <w:p w:rsidR="001C6F64" w:rsidRDefault="0068569A">
      <w:r>
        <w:t>-          Galerija izvorne umjetnosti Zlatar – manjak prihoda i primitaka nad rashodima i izdacima sa prenesenim viškom za prijenos i pokriće u slijedećem razdoblju iznosi manjak od 743,23 €</w:t>
      </w:r>
    </w:p>
    <w:p w:rsidR="001C6F64" w:rsidRDefault="0068569A">
      <w:r>
        <w:t>-          Gradska knjižnica Zlatar- manjak prihoda i primitaka nad rashodima i izdacima sa prenesenim viškom za prijenos i pokriće u slijedećem razdoblju iznosi manjak od 4.318,83 €</w:t>
      </w:r>
    </w:p>
    <w:p w:rsidR="001C6F64" w:rsidRDefault="0068569A">
      <w:r>
        <w:t>-          Pučko otvoreno učilište dr. Jurja Žerjavića Zlatar - manjak prihoda i primitaka nad rashodima i izdacima sa prenesenim viškom za prijenos i pokriće u slijedećem razdoblju iznosi višak od 2.034,56 €</w:t>
      </w:r>
    </w:p>
    <w:p w:rsidR="001C6F64" w:rsidRDefault="0068569A">
      <w:r>
        <w:t>-          Dječji vrtić i jaslice Zlatarsko zlato- manjak prihoda i primitaka nad rashodima i izdacima sa prenesenim manjkom iznosi manjak od 43.358,46 €</w:t>
      </w:r>
    </w:p>
    <w:p w:rsidR="001C6F64" w:rsidRDefault="0068569A">
      <w:r>
        <w:lastRenderedPageBreak/>
        <w:t>-          Grad Zlatar - višak prihoda i primitaka nad rashodima i izdacima sa prenesenim viškom za prijenos i pokriće u slijedećem razdoblju iznosi višak od 433.690,40 €</w:t>
      </w:r>
    </w:p>
    <w:p w:rsidR="001C6F64" w:rsidRDefault="0068569A">
      <w:r>
        <w:t> </w:t>
      </w:r>
    </w:p>
    <w:p w:rsidR="001C6F64" w:rsidRDefault="001C6F64"/>
    <w:p w:rsidR="001C6F64" w:rsidRDefault="0068569A">
      <w:pPr>
        <w:keepNext/>
        <w:spacing w:line="240" w:lineRule="auto"/>
        <w:jc w:val="center"/>
      </w:pPr>
      <w:r>
        <w:rPr>
          <w:sz w:val="28"/>
        </w:rPr>
        <w:t>Bilješka 4.</w:t>
      </w:r>
    </w:p>
    <w:p w:rsidR="001C6F64" w:rsidRDefault="0068569A">
      <w:pPr>
        <w:spacing w:line="240" w:lineRule="auto"/>
        <w:jc w:val="both"/>
      </w:pPr>
      <w:proofErr w:type="spellStart"/>
      <w:r>
        <w:rPr>
          <w:b/>
        </w:rPr>
        <w:t>Unutargrupne</w:t>
      </w:r>
      <w:proofErr w:type="spellEnd"/>
      <w:r>
        <w:rPr>
          <w:b/>
        </w:rPr>
        <w:t xml:space="preserve"> transakcije koje su u izvještajima eliminirane</w:t>
      </w:r>
    </w:p>
    <w:p w:rsidR="001C6F64" w:rsidRDefault="0068569A">
      <w:r>
        <w:t>Iz nadležnog proračuna Grada Zlatara izvršene su unutar grupne transakcije i u ukupnom iznosu od 745.461,66 € što pojedinačno iznosi:</w:t>
      </w:r>
    </w:p>
    <w:p w:rsidR="001C6F64" w:rsidRDefault="0068569A">
      <w:r>
        <w:t>-          Galerija izvorne umjetnosti Zlatar – iznos od 16.263,73 € povećanje za 62,2% ili 6.211,37 € u odnosu na siječanj-prosinac 2024. godine</w:t>
      </w:r>
    </w:p>
    <w:p w:rsidR="001C6F64" w:rsidRDefault="0068569A">
      <w:r>
        <w:t>-          Gradska knjižnica Zlatar – iznos od 88.152,60 € smanjenje za 0,39% ili 343,15  € u odnosu na siječanj-prosinac 2024. godine</w:t>
      </w:r>
    </w:p>
    <w:p w:rsidR="001C6F64" w:rsidRDefault="0068569A">
      <w:r>
        <w:t>-          Pučko otvoreno učilište dr. Jurja Žerjavića Zlatar – iznos od 59.800,03  € povećanje za  28,99% ili  13.440,35 € u odnosu na siječanj-prosinac 2024. godine</w:t>
      </w:r>
    </w:p>
    <w:p w:rsidR="001C6F64" w:rsidRDefault="0068569A">
      <w:r>
        <w:t>-          Dječji vrtić i jaslice Zlatarsko zlato - iznos od  581.245,30 € povećanje 40,7% ili  168.243,01 € u odnosu na siječanj-prosinac 2024. godine</w:t>
      </w:r>
    </w:p>
    <w:p w:rsidR="001C6F64" w:rsidRDefault="001C6F64"/>
    <w:sectPr w:rsidR="001C6F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64"/>
    <w:rsid w:val="001C6F64"/>
    <w:rsid w:val="003F664B"/>
    <w:rsid w:val="0044436F"/>
    <w:rsid w:val="006856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7EB5A-BC1C-425A-B454-69934151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Matija Štahan</dc:creator>
  <cp:lastModifiedBy>Matija Štahan</cp:lastModifiedBy>
  <cp:revision>2</cp:revision>
  <dcterms:created xsi:type="dcterms:W3CDTF">2026-02-27T08:58:00Z</dcterms:created>
  <dcterms:modified xsi:type="dcterms:W3CDTF">2026-02-27T08:58:00Z</dcterms:modified>
</cp:coreProperties>
</file>