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3F5A0A" w14:paraId="1EB0113B" w14:textId="77777777">
        <w:tblPrEx>
          <w:tblCellMar>
            <w:top w:w="0" w:type="dxa"/>
            <w:bottom w:w="0" w:type="dxa"/>
          </w:tblCellMar>
        </w:tblPrEx>
        <w:trPr>
          <w:tblCellSpacing w:w="60" w:type="dxa"/>
        </w:trPr>
        <w:tc>
          <w:tcPr>
            <w:tcW w:w="1200" w:type="pct"/>
            <w:shd w:val="clear" w:color="auto" w:fill="E7F0F9"/>
          </w:tcPr>
          <w:p w14:paraId="5B926878" w14:textId="77777777" w:rsidR="003F5A0A" w:rsidRDefault="00000000">
            <w:pPr>
              <w:spacing w:after="0" w:line="240" w:lineRule="auto"/>
            </w:pPr>
            <w:r>
              <w:rPr>
                <w:b/>
              </w:rPr>
              <w:t>RKP broj</w:t>
            </w:r>
          </w:p>
        </w:tc>
        <w:tc>
          <w:tcPr>
            <w:tcW w:w="0" w:type="auto"/>
            <w:shd w:val="clear" w:color="auto" w:fill="E7F0F9"/>
          </w:tcPr>
          <w:p w14:paraId="1ABEA441" w14:textId="77777777" w:rsidR="003F5A0A" w:rsidRDefault="00000000">
            <w:pPr>
              <w:spacing w:after="0" w:line="240" w:lineRule="auto"/>
            </w:pPr>
            <w:r>
              <w:t>37734</w:t>
            </w:r>
          </w:p>
        </w:tc>
      </w:tr>
      <w:tr w:rsidR="003F5A0A" w14:paraId="4FD70DE6" w14:textId="77777777">
        <w:tblPrEx>
          <w:tblCellMar>
            <w:top w:w="0" w:type="dxa"/>
            <w:bottom w:w="0" w:type="dxa"/>
          </w:tblCellMar>
        </w:tblPrEx>
        <w:trPr>
          <w:tblCellSpacing w:w="60" w:type="dxa"/>
        </w:trPr>
        <w:tc>
          <w:tcPr>
            <w:tcW w:w="1200" w:type="pct"/>
            <w:shd w:val="clear" w:color="auto" w:fill="E7F0F9"/>
          </w:tcPr>
          <w:p w14:paraId="6391C013" w14:textId="77777777" w:rsidR="003F5A0A" w:rsidRDefault="00000000">
            <w:pPr>
              <w:spacing w:after="0" w:line="240" w:lineRule="auto"/>
            </w:pPr>
            <w:r>
              <w:rPr>
                <w:b/>
              </w:rPr>
              <w:t>Naziv obveznika</w:t>
            </w:r>
          </w:p>
        </w:tc>
        <w:tc>
          <w:tcPr>
            <w:tcW w:w="0" w:type="auto"/>
            <w:shd w:val="clear" w:color="auto" w:fill="E7F0F9"/>
          </w:tcPr>
          <w:p w14:paraId="69828938" w14:textId="77777777" w:rsidR="003F5A0A" w:rsidRDefault="00000000">
            <w:pPr>
              <w:spacing w:after="0" w:line="240" w:lineRule="auto"/>
            </w:pPr>
            <w:r>
              <w:t>GRAD ZLATAR</w:t>
            </w:r>
          </w:p>
        </w:tc>
      </w:tr>
      <w:tr w:rsidR="003F5A0A" w14:paraId="0B3AD084" w14:textId="77777777">
        <w:tblPrEx>
          <w:tblCellMar>
            <w:top w:w="0" w:type="dxa"/>
            <w:bottom w:w="0" w:type="dxa"/>
          </w:tblCellMar>
        </w:tblPrEx>
        <w:trPr>
          <w:tblCellSpacing w:w="60" w:type="dxa"/>
        </w:trPr>
        <w:tc>
          <w:tcPr>
            <w:tcW w:w="1200" w:type="pct"/>
            <w:shd w:val="clear" w:color="auto" w:fill="E7F0F9"/>
          </w:tcPr>
          <w:p w14:paraId="083D0142" w14:textId="77777777" w:rsidR="003F5A0A" w:rsidRDefault="00000000">
            <w:pPr>
              <w:spacing w:after="0" w:line="240" w:lineRule="auto"/>
            </w:pPr>
            <w:r>
              <w:rPr>
                <w:b/>
              </w:rPr>
              <w:t>Razina</w:t>
            </w:r>
          </w:p>
        </w:tc>
        <w:tc>
          <w:tcPr>
            <w:tcW w:w="0" w:type="auto"/>
            <w:shd w:val="clear" w:color="auto" w:fill="E7F0F9"/>
          </w:tcPr>
          <w:p w14:paraId="2765E625" w14:textId="77777777" w:rsidR="003F5A0A" w:rsidRDefault="00000000">
            <w:pPr>
              <w:spacing w:after="0" w:line="240" w:lineRule="auto"/>
            </w:pPr>
            <w:r>
              <w:t>23</w:t>
            </w:r>
          </w:p>
        </w:tc>
      </w:tr>
    </w:tbl>
    <w:p w14:paraId="6A5E1ED5" w14:textId="77777777" w:rsidR="003F5A0A" w:rsidRDefault="00000000">
      <w:r>
        <w:br/>
      </w:r>
    </w:p>
    <w:p w14:paraId="37D1CB23" w14:textId="77777777" w:rsidR="003F5A0A" w:rsidRDefault="00000000">
      <w:pPr>
        <w:spacing w:line="240" w:lineRule="auto"/>
        <w:jc w:val="center"/>
      </w:pPr>
      <w:r>
        <w:rPr>
          <w:b/>
          <w:sz w:val="28"/>
        </w:rPr>
        <w:t>BILJEŠKE UZ FINANCIJSKE IZVJEŠTAJE</w:t>
      </w:r>
    </w:p>
    <w:p w14:paraId="066ADDED" w14:textId="77777777" w:rsidR="003F5A0A" w:rsidRDefault="00000000">
      <w:pPr>
        <w:spacing w:line="240" w:lineRule="auto"/>
        <w:jc w:val="center"/>
      </w:pPr>
      <w:r>
        <w:rPr>
          <w:b/>
          <w:sz w:val="28"/>
        </w:rPr>
        <w:t>ZA RAZDOBLJE</w:t>
      </w:r>
    </w:p>
    <w:p w14:paraId="4CD08944" w14:textId="77777777" w:rsidR="003F5A0A" w:rsidRDefault="00000000">
      <w:pPr>
        <w:spacing w:line="240" w:lineRule="auto"/>
        <w:jc w:val="center"/>
      </w:pPr>
      <w:r>
        <w:rPr>
          <w:b/>
          <w:sz w:val="28"/>
        </w:rPr>
        <w:t>I - VI 2025.</w:t>
      </w:r>
    </w:p>
    <w:p w14:paraId="772ECA12" w14:textId="77777777" w:rsidR="003F5A0A" w:rsidRDefault="003F5A0A"/>
    <w:p w14:paraId="590B029C" w14:textId="77777777" w:rsidR="003F5A0A" w:rsidRDefault="00000000">
      <w:pPr>
        <w:keepNext/>
        <w:spacing w:line="240" w:lineRule="auto"/>
        <w:jc w:val="center"/>
      </w:pPr>
      <w:r>
        <w:rPr>
          <w:b/>
          <w:sz w:val="28"/>
        </w:rPr>
        <w:t>Izvještaj o prihodima i rashodima, primicima i izdacima</w:t>
      </w:r>
    </w:p>
    <w:p w14:paraId="166FEE12" w14:textId="77777777" w:rsidR="003F5A0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42CF91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0CE262"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55AC23"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B968B8"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F348E9"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410C53"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82CBC1" w14:textId="77777777" w:rsidR="003F5A0A" w:rsidRDefault="00000000">
            <w:pPr>
              <w:keepNext/>
              <w:keepLines/>
              <w:spacing w:after="0" w:line="240" w:lineRule="auto"/>
              <w:jc w:val="center"/>
            </w:pPr>
            <w:r>
              <w:rPr>
                <w:b/>
                <w:sz w:val="18"/>
              </w:rPr>
              <w:t>Indeks (%)</w:t>
            </w:r>
          </w:p>
        </w:tc>
      </w:tr>
      <w:tr w:rsidR="003F5A0A" w14:paraId="5D3ECC58" w14:textId="77777777">
        <w:tblPrEx>
          <w:tblCellMar>
            <w:top w:w="0" w:type="dxa"/>
            <w:bottom w:w="0" w:type="dxa"/>
          </w:tblCellMar>
        </w:tblPrEx>
        <w:trPr>
          <w:cantSplit/>
          <w:trHeight w:val="560"/>
        </w:trPr>
        <w:tc>
          <w:tcPr>
            <w:tcW w:w="700" w:type="dxa"/>
            <w:tcMar>
              <w:top w:w="0" w:type="dxa"/>
              <w:bottom w:w="0" w:type="dxa"/>
            </w:tcMar>
            <w:vAlign w:val="center"/>
          </w:tcPr>
          <w:p w14:paraId="301AC012" w14:textId="77777777" w:rsidR="003F5A0A" w:rsidRDefault="00000000">
            <w:pPr>
              <w:keepNext/>
              <w:keepLines/>
              <w:spacing w:after="0" w:line="240" w:lineRule="auto"/>
            </w:pPr>
            <w:r>
              <w:rPr>
                <w:sz w:val="18"/>
              </w:rPr>
              <w:t>6</w:t>
            </w:r>
          </w:p>
        </w:tc>
        <w:tc>
          <w:tcPr>
            <w:tcW w:w="3180" w:type="dxa"/>
            <w:tcMar>
              <w:top w:w="0" w:type="dxa"/>
              <w:bottom w:w="0" w:type="dxa"/>
            </w:tcMar>
            <w:vAlign w:val="center"/>
          </w:tcPr>
          <w:p w14:paraId="0D4739A6" w14:textId="77777777" w:rsidR="003F5A0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07B573F" w14:textId="77777777" w:rsidR="003F5A0A" w:rsidRDefault="00000000">
            <w:pPr>
              <w:keepNext/>
              <w:keepLines/>
              <w:spacing w:after="0" w:line="240" w:lineRule="auto"/>
            </w:pPr>
            <w:r>
              <w:rPr>
                <w:sz w:val="18"/>
              </w:rPr>
              <w:t>6</w:t>
            </w:r>
          </w:p>
        </w:tc>
        <w:tc>
          <w:tcPr>
            <w:tcW w:w="1860" w:type="dxa"/>
            <w:tcMar>
              <w:top w:w="0" w:type="dxa"/>
              <w:bottom w:w="0" w:type="dxa"/>
            </w:tcMar>
            <w:vAlign w:val="center"/>
          </w:tcPr>
          <w:p w14:paraId="16CEB95F" w14:textId="77777777" w:rsidR="003F5A0A" w:rsidRDefault="00000000">
            <w:pPr>
              <w:keepNext/>
              <w:keepLines/>
              <w:spacing w:after="0" w:line="240" w:lineRule="auto"/>
              <w:jc w:val="right"/>
            </w:pPr>
            <w:r>
              <w:rPr>
                <w:sz w:val="18"/>
              </w:rPr>
              <w:t>2.605.780,31</w:t>
            </w:r>
          </w:p>
        </w:tc>
        <w:tc>
          <w:tcPr>
            <w:tcW w:w="1860" w:type="dxa"/>
            <w:tcMar>
              <w:top w:w="0" w:type="dxa"/>
              <w:bottom w:w="0" w:type="dxa"/>
            </w:tcMar>
            <w:vAlign w:val="center"/>
          </w:tcPr>
          <w:p w14:paraId="13AA2ECF" w14:textId="77777777" w:rsidR="003F5A0A" w:rsidRDefault="00000000">
            <w:pPr>
              <w:keepNext/>
              <w:keepLines/>
              <w:spacing w:after="0" w:line="240" w:lineRule="auto"/>
              <w:jc w:val="right"/>
            </w:pPr>
            <w:r>
              <w:rPr>
                <w:sz w:val="18"/>
              </w:rPr>
              <w:t>2.720.276,07</w:t>
            </w:r>
          </w:p>
        </w:tc>
        <w:tc>
          <w:tcPr>
            <w:tcW w:w="700" w:type="dxa"/>
            <w:tcMar>
              <w:top w:w="0" w:type="dxa"/>
              <w:bottom w:w="0" w:type="dxa"/>
            </w:tcMar>
            <w:vAlign w:val="center"/>
          </w:tcPr>
          <w:p w14:paraId="02D26A25" w14:textId="77777777" w:rsidR="003F5A0A" w:rsidRDefault="00000000">
            <w:pPr>
              <w:keepNext/>
              <w:keepLines/>
              <w:spacing w:after="0" w:line="240" w:lineRule="auto"/>
              <w:jc w:val="right"/>
            </w:pPr>
            <w:r>
              <w:rPr>
                <w:sz w:val="18"/>
              </w:rPr>
              <w:t>104,4</w:t>
            </w:r>
          </w:p>
        </w:tc>
      </w:tr>
      <w:tr w:rsidR="003F5A0A" w14:paraId="77F0F70F" w14:textId="77777777">
        <w:tblPrEx>
          <w:tblCellMar>
            <w:top w:w="0" w:type="dxa"/>
            <w:bottom w:w="0" w:type="dxa"/>
          </w:tblCellMar>
        </w:tblPrEx>
        <w:trPr>
          <w:cantSplit/>
          <w:trHeight w:val="560"/>
        </w:trPr>
        <w:tc>
          <w:tcPr>
            <w:tcW w:w="700" w:type="dxa"/>
            <w:tcMar>
              <w:top w:w="0" w:type="dxa"/>
              <w:bottom w:w="0" w:type="dxa"/>
            </w:tcMar>
            <w:vAlign w:val="center"/>
          </w:tcPr>
          <w:p w14:paraId="4D322553" w14:textId="77777777" w:rsidR="003F5A0A" w:rsidRDefault="00000000">
            <w:pPr>
              <w:keepNext/>
              <w:keepLines/>
              <w:spacing w:after="0" w:line="240" w:lineRule="auto"/>
            </w:pPr>
            <w:r>
              <w:rPr>
                <w:sz w:val="18"/>
              </w:rPr>
              <w:t>3</w:t>
            </w:r>
          </w:p>
        </w:tc>
        <w:tc>
          <w:tcPr>
            <w:tcW w:w="3180" w:type="dxa"/>
            <w:tcMar>
              <w:top w:w="0" w:type="dxa"/>
              <w:bottom w:w="0" w:type="dxa"/>
            </w:tcMar>
            <w:vAlign w:val="center"/>
          </w:tcPr>
          <w:p w14:paraId="17CEAFAE" w14:textId="77777777" w:rsidR="003F5A0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F366779" w14:textId="77777777" w:rsidR="003F5A0A" w:rsidRDefault="00000000">
            <w:pPr>
              <w:keepNext/>
              <w:keepLines/>
              <w:spacing w:after="0" w:line="240" w:lineRule="auto"/>
            </w:pPr>
            <w:r>
              <w:rPr>
                <w:sz w:val="18"/>
              </w:rPr>
              <w:t>3</w:t>
            </w:r>
          </w:p>
        </w:tc>
        <w:tc>
          <w:tcPr>
            <w:tcW w:w="1860" w:type="dxa"/>
            <w:tcMar>
              <w:top w:w="0" w:type="dxa"/>
              <w:bottom w:w="0" w:type="dxa"/>
            </w:tcMar>
            <w:vAlign w:val="center"/>
          </w:tcPr>
          <w:p w14:paraId="152C6ED1" w14:textId="77777777" w:rsidR="003F5A0A" w:rsidRDefault="00000000">
            <w:pPr>
              <w:keepNext/>
              <w:keepLines/>
              <w:spacing w:after="0" w:line="240" w:lineRule="auto"/>
              <w:jc w:val="right"/>
            </w:pPr>
            <w:r>
              <w:rPr>
                <w:sz w:val="18"/>
              </w:rPr>
              <w:t>1.442.677,80</w:t>
            </w:r>
          </w:p>
        </w:tc>
        <w:tc>
          <w:tcPr>
            <w:tcW w:w="1860" w:type="dxa"/>
            <w:tcMar>
              <w:top w:w="0" w:type="dxa"/>
              <w:bottom w:w="0" w:type="dxa"/>
            </w:tcMar>
            <w:vAlign w:val="center"/>
          </w:tcPr>
          <w:p w14:paraId="64A40417" w14:textId="77777777" w:rsidR="003F5A0A" w:rsidRDefault="00000000">
            <w:pPr>
              <w:keepNext/>
              <w:keepLines/>
              <w:spacing w:after="0" w:line="240" w:lineRule="auto"/>
              <w:jc w:val="right"/>
            </w:pPr>
            <w:r>
              <w:rPr>
                <w:sz w:val="18"/>
              </w:rPr>
              <w:t>1.832.860,62</w:t>
            </w:r>
          </w:p>
        </w:tc>
        <w:tc>
          <w:tcPr>
            <w:tcW w:w="700" w:type="dxa"/>
            <w:tcMar>
              <w:top w:w="0" w:type="dxa"/>
              <w:bottom w:w="0" w:type="dxa"/>
            </w:tcMar>
            <w:vAlign w:val="center"/>
          </w:tcPr>
          <w:p w14:paraId="033DE118" w14:textId="77777777" w:rsidR="003F5A0A" w:rsidRDefault="00000000">
            <w:pPr>
              <w:keepNext/>
              <w:keepLines/>
              <w:spacing w:after="0" w:line="240" w:lineRule="auto"/>
              <w:jc w:val="right"/>
            </w:pPr>
            <w:r>
              <w:rPr>
                <w:sz w:val="18"/>
              </w:rPr>
              <w:t>127,0</w:t>
            </w:r>
          </w:p>
        </w:tc>
      </w:tr>
      <w:tr w:rsidR="003F5A0A" w14:paraId="5A643BAB" w14:textId="77777777">
        <w:tblPrEx>
          <w:tblCellMar>
            <w:top w:w="0" w:type="dxa"/>
            <w:bottom w:w="0" w:type="dxa"/>
          </w:tblCellMar>
        </w:tblPrEx>
        <w:trPr>
          <w:cantSplit/>
          <w:trHeight w:val="560"/>
        </w:trPr>
        <w:tc>
          <w:tcPr>
            <w:tcW w:w="700" w:type="dxa"/>
            <w:tcMar>
              <w:top w:w="0" w:type="dxa"/>
              <w:bottom w:w="0" w:type="dxa"/>
            </w:tcMar>
            <w:vAlign w:val="center"/>
          </w:tcPr>
          <w:p w14:paraId="7242F422" w14:textId="77777777" w:rsidR="003F5A0A" w:rsidRDefault="003F5A0A">
            <w:pPr>
              <w:keepNext/>
              <w:keepLines/>
              <w:spacing w:after="0" w:line="240" w:lineRule="auto"/>
            </w:pPr>
          </w:p>
        </w:tc>
        <w:tc>
          <w:tcPr>
            <w:tcW w:w="3180" w:type="dxa"/>
            <w:tcMar>
              <w:top w:w="0" w:type="dxa"/>
              <w:bottom w:w="0" w:type="dxa"/>
            </w:tcMar>
            <w:vAlign w:val="center"/>
          </w:tcPr>
          <w:p w14:paraId="0D9CACAC" w14:textId="77777777" w:rsidR="003F5A0A"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E9900C0" w14:textId="77777777" w:rsidR="003F5A0A" w:rsidRDefault="00000000">
            <w:pPr>
              <w:keepNext/>
              <w:keepLines/>
              <w:spacing w:after="0" w:line="240" w:lineRule="auto"/>
            </w:pPr>
            <w:r>
              <w:rPr>
                <w:b/>
                <w:sz w:val="18"/>
              </w:rPr>
              <w:t>X001</w:t>
            </w:r>
          </w:p>
        </w:tc>
        <w:tc>
          <w:tcPr>
            <w:tcW w:w="1860" w:type="dxa"/>
            <w:tcMar>
              <w:top w:w="0" w:type="dxa"/>
              <w:bottom w:w="0" w:type="dxa"/>
            </w:tcMar>
            <w:vAlign w:val="center"/>
          </w:tcPr>
          <w:p w14:paraId="5EBE9D6A" w14:textId="77777777" w:rsidR="003F5A0A" w:rsidRDefault="00000000">
            <w:pPr>
              <w:keepNext/>
              <w:keepLines/>
              <w:spacing w:after="0" w:line="240" w:lineRule="auto"/>
              <w:jc w:val="right"/>
            </w:pPr>
            <w:r>
              <w:rPr>
                <w:b/>
                <w:sz w:val="18"/>
              </w:rPr>
              <w:t>1.163.102,51</w:t>
            </w:r>
          </w:p>
        </w:tc>
        <w:tc>
          <w:tcPr>
            <w:tcW w:w="1860" w:type="dxa"/>
            <w:tcMar>
              <w:top w:w="0" w:type="dxa"/>
              <w:bottom w:w="0" w:type="dxa"/>
            </w:tcMar>
            <w:vAlign w:val="center"/>
          </w:tcPr>
          <w:p w14:paraId="51A9D947" w14:textId="77777777" w:rsidR="003F5A0A" w:rsidRDefault="00000000">
            <w:pPr>
              <w:keepNext/>
              <w:keepLines/>
              <w:spacing w:after="0" w:line="240" w:lineRule="auto"/>
              <w:jc w:val="right"/>
            </w:pPr>
            <w:r>
              <w:rPr>
                <w:b/>
                <w:sz w:val="18"/>
              </w:rPr>
              <w:t>887.415,45</w:t>
            </w:r>
          </w:p>
        </w:tc>
        <w:tc>
          <w:tcPr>
            <w:tcW w:w="700" w:type="dxa"/>
            <w:tcMar>
              <w:top w:w="0" w:type="dxa"/>
              <w:bottom w:w="0" w:type="dxa"/>
            </w:tcMar>
            <w:vAlign w:val="center"/>
          </w:tcPr>
          <w:p w14:paraId="7C01569A" w14:textId="77777777" w:rsidR="003F5A0A" w:rsidRDefault="00000000">
            <w:pPr>
              <w:keepNext/>
              <w:keepLines/>
              <w:spacing w:after="0" w:line="240" w:lineRule="auto"/>
              <w:jc w:val="right"/>
            </w:pPr>
            <w:r>
              <w:rPr>
                <w:b/>
                <w:sz w:val="18"/>
              </w:rPr>
              <w:t>76,3</w:t>
            </w:r>
          </w:p>
        </w:tc>
      </w:tr>
      <w:tr w:rsidR="003F5A0A" w14:paraId="673D9F9D" w14:textId="77777777">
        <w:tblPrEx>
          <w:tblCellMar>
            <w:top w:w="0" w:type="dxa"/>
            <w:bottom w:w="0" w:type="dxa"/>
          </w:tblCellMar>
        </w:tblPrEx>
        <w:trPr>
          <w:cantSplit/>
          <w:trHeight w:val="560"/>
        </w:trPr>
        <w:tc>
          <w:tcPr>
            <w:tcW w:w="700" w:type="dxa"/>
            <w:tcMar>
              <w:top w:w="0" w:type="dxa"/>
              <w:bottom w:w="0" w:type="dxa"/>
            </w:tcMar>
            <w:vAlign w:val="center"/>
          </w:tcPr>
          <w:p w14:paraId="5251F459" w14:textId="77777777" w:rsidR="003F5A0A" w:rsidRDefault="00000000">
            <w:pPr>
              <w:keepNext/>
              <w:keepLines/>
              <w:spacing w:after="0" w:line="240" w:lineRule="auto"/>
            </w:pPr>
            <w:r>
              <w:rPr>
                <w:sz w:val="18"/>
              </w:rPr>
              <w:t>7</w:t>
            </w:r>
          </w:p>
        </w:tc>
        <w:tc>
          <w:tcPr>
            <w:tcW w:w="3180" w:type="dxa"/>
            <w:tcMar>
              <w:top w:w="0" w:type="dxa"/>
              <w:bottom w:w="0" w:type="dxa"/>
            </w:tcMar>
            <w:vAlign w:val="center"/>
          </w:tcPr>
          <w:p w14:paraId="2D17E362" w14:textId="77777777" w:rsidR="003F5A0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87AF368" w14:textId="77777777" w:rsidR="003F5A0A" w:rsidRDefault="00000000">
            <w:pPr>
              <w:keepNext/>
              <w:keepLines/>
              <w:spacing w:after="0" w:line="240" w:lineRule="auto"/>
            </w:pPr>
            <w:r>
              <w:rPr>
                <w:sz w:val="18"/>
              </w:rPr>
              <w:t>7</w:t>
            </w:r>
          </w:p>
        </w:tc>
        <w:tc>
          <w:tcPr>
            <w:tcW w:w="1860" w:type="dxa"/>
            <w:tcMar>
              <w:top w:w="0" w:type="dxa"/>
              <w:bottom w:w="0" w:type="dxa"/>
            </w:tcMar>
            <w:vAlign w:val="center"/>
          </w:tcPr>
          <w:p w14:paraId="6FD89739" w14:textId="77777777" w:rsidR="003F5A0A" w:rsidRDefault="00000000">
            <w:pPr>
              <w:keepNext/>
              <w:keepLines/>
              <w:spacing w:after="0" w:line="240" w:lineRule="auto"/>
              <w:jc w:val="right"/>
            </w:pPr>
            <w:r>
              <w:rPr>
                <w:sz w:val="18"/>
              </w:rPr>
              <w:t>0,00</w:t>
            </w:r>
          </w:p>
        </w:tc>
        <w:tc>
          <w:tcPr>
            <w:tcW w:w="1860" w:type="dxa"/>
            <w:tcMar>
              <w:top w:w="0" w:type="dxa"/>
              <w:bottom w:w="0" w:type="dxa"/>
            </w:tcMar>
            <w:vAlign w:val="center"/>
          </w:tcPr>
          <w:p w14:paraId="632E599F" w14:textId="77777777" w:rsidR="003F5A0A" w:rsidRDefault="00000000">
            <w:pPr>
              <w:keepNext/>
              <w:keepLines/>
              <w:spacing w:after="0" w:line="240" w:lineRule="auto"/>
              <w:jc w:val="right"/>
            </w:pPr>
            <w:r>
              <w:rPr>
                <w:sz w:val="18"/>
              </w:rPr>
              <w:t>0,00</w:t>
            </w:r>
          </w:p>
        </w:tc>
        <w:tc>
          <w:tcPr>
            <w:tcW w:w="700" w:type="dxa"/>
            <w:tcMar>
              <w:top w:w="0" w:type="dxa"/>
              <w:bottom w:w="0" w:type="dxa"/>
            </w:tcMar>
            <w:vAlign w:val="center"/>
          </w:tcPr>
          <w:p w14:paraId="0431029B" w14:textId="77777777" w:rsidR="003F5A0A" w:rsidRDefault="00000000">
            <w:pPr>
              <w:keepNext/>
              <w:keepLines/>
              <w:spacing w:after="0" w:line="240" w:lineRule="auto"/>
              <w:jc w:val="right"/>
            </w:pPr>
            <w:r>
              <w:rPr>
                <w:sz w:val="18"/>
              </w:rPr>
              <w:t>-</w:t>
            </w:r>
          </w:p>
        </w:tc>
      </w:tr>
      <w:tr w:rsidR="003F5A0A" w14:paraId="78995746" w14:textId="77777777">
        <w:tblPrEx>
          <w:tblCellMar>
            <w:top w:w="0" w:type="dxa"/>
            <w:bottom w:w="0" w:type="dxa"/>
          </w:tblCellMar>
        </w:tblPrEx>
        <w:trPr>
          <w:cantSplit/>
          <w:trHeight w:val="560"/>
        </w:trPr>
        <w:tc>
          <w:tcPr>
            <w:tcW w:w="700" w:type="dxa"/>
            <w:tcMar>
              <w:top w:w="0" w:type="dxa"/>
              <w:bottom w:w="0" w:type="dxa"/>
            </w:tcMar>
            <w:vAlign w:val="center"/>
          </w:tcPr>
          <w:p w14:paraId="422149CA" w14:textId="77777777" w:rsidR="003F5A0A" w:rsidRDefault="00000000">
            <w:pPr>
              <w:keepNext/>
              <w:keepLines/>
              <w:spacing w:after="0" w:line="240" w:lineRule="auto"/>
            </w:pPr>
            <w:r>
              <w:rPr>
                <w:sz w:val="18"/>
              </w:rPr>
              <w:t>4</w:t>
            </w:r>
          </w:p>
        </w:tc>
        <w:tc>
          <w:tcPr>
            <w:tcW w:w="3180" w:type="dxa"/>
            <w:tcMar>
              <w:top w:w="0" w:type="dxa"/>
              <w:bottom w:w="0" w:type="dxa"/>
            </w:tcMar>
            <w:vAlign w:val="center"/>
          </w:tcPr>
          <w:p w14:paraId="1218989C" w14:textId="77777777" w:rsidR="003F5A0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4A3646C" w14:textId="77777777" w:rsidR="003F5A0A" w:rsidRDefault="00000000">
            <w:pPr>
              <w:keepNext/>
              <w:keepLines/>
              <w:spacing w:after="0" w:line="240" w:lineRule="auto"/>
            </w:pPr>
            <w:r>
              <w:rPr>
                <w:sz w:val="18"/>
              </w:rPr>
              <w:t>4</w:t>
            </w:r>
          </w:p>
        </w:tc>
        <w:tc>
          <w:tcPr>
            <w:tcW w:w="1860" w:type="dxa"/>
            <w:tcMar>
              <w:top w:w="0" w:type="dxa"/>
              <w:bottom w:w="0" w:type="dxa"/>
            </w:tcMar>
            <w:vAlign w:val="center"/>
          </w:tcPr>
          <w:p w14:paraId="1B507594" w14:textId="77777777" w:rsidR="003F5A0A" w:rsidRDefault="00000000">
            <w:pPr>
              <w:keepNext/>
              <w:keepLines/>
              <w:spacing w:after="0" w:line="240" w:lineRule="auto"/>
              <w:jc w:val="right"/>
            </w:pPr>
            <w:r>
              <w:rPr>
                <w:sz w:val="18"/>
              </w:rPr>
              <w:t>1.523.807,68</w:t>
            </w:r>
          </w:p>
        </w:tc>
        <w:tc>
          <w:tcPr>
            <w:tcW w:w="1860" w:type="dxa"/>
            <w:tcMar>
              <w:top w:w="0" w:type="dxa"/>
              <w:bottom w:w="0" w:type="dxa"/>
            </w:tcMar>
            <w:vAlign w:val="center"/>
          </w:tcPr>
          <w:p w14:paraId="78BB6948" w14:textId="77777777" w:rsidR="003F5A0A" w:rsidRDefault="00000000">
            <w:pPr>
              <w:keepNext/>
              <w:keepLines/>
              <w:spacing w:after="0" w:line="240" w:lineRule="auto"/>
              <w:jc w:val="right"/>
            </w:pPr>
            <w:r>
              <w:rPr>
                <w:sz w:val="18"/>
              </w:rPr>
              <w:t>1.371.100,53</w:t>
            </w:r>
          </w:p>
        </w:tc>
        <w:tc>
          <w:tcPr>
            <w:tcW w:w="700" w:type="dxa"/>
            <w:tcMar>
              <w:top w:w="0" w:type="dxa"/>
              <w:bottom w:w="0" w:type="dxa"/>
            </w:tcMar>
            <w:vAlign w:val="center"/>
          </w:tcPr>
          <w:p w14:paraId="48C2EA0A" w14:textId="77777777" w:rsidR="003F5A0A" w:rsidRDefault="00000000">
            <w:pPr>
              <w:keepNext/>
              <w:keepLines/>
              <w:spacing w:after="0" w:line="240" w:lineRule="auto"/>
              <w:jc w:val="right"/>
            </w:pPr>
            <w:r>
              <w:rPr>
                <w:sz w:val="18"/>
              </w:rPr>
              <w:t>90,0</w:t>
            </w:r>
          </w:p>
        </w:tc>
      </w:tr>
      <w:tr w:rsidR="003F5A0A" w14:paraId="549DB773" w14:textId="77777777">
        <w:tblPrEx>
          <w:tblCellMar>
            <w:top w:w="0" w:type="dxa"/>
            <w:bottom w:w="0" w:type="dxa"/>
          </w:tblCellMar>
        </w:tblPrEx>
        <w:trPr>
          <w:cantSplit/>
          <w:trHeight w:val="560"/>
        </w:trPr>
        <w:tc>
          <w:tcPr>
            <w:tcW w:w="700" w:type="dxa"/>
            <w:tcMar>
              <w:top w:w="0" w:type="dxa"/>
              <w:bottom w:w="0" w:type="dxa"/>
            </w:tcMar>
            <w:vAlign w:val="center"/>
          </w:tcPr>
          <w:p w14:paraId="2DB609DF" w14:textId="77777777" w:rsidR="003F5A0A" w:rsidRDefault="003F5A0A">
            <w:pPr>
              <w:keepNext/>
              <w:keepLines/>
              <w:spacing w:after="0" w:line="240" w:lineRule="auto"/>
            </w:pPr>
          </w:p>
        </w:tc>
        <w:tc>
          <w:tcPr>
            <w:tcW w:w="3180" w:type="dxa"/>
            <w:tcMar>
              <w:top w:w="0" w:type="dxa"/>
              <w:bottom w:w="0" w:type="dxa"/>
            </w:tcMar>
            <w:vAlign w:val="center"/>
          </w:tcPr>
          <w:p w14:paraId="3BA58A27" w14:textId="77777777" w:rsidR="003F5A0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8B1C159" w14:textId="77777777" w:rsidR="003F5A0A" w:rsidRDefault="00000000">
            <w:pPr>
              <w:keepNext/>
              <w:keepLines/>
              <w:spacing w:after="0" w:line="240" w:lineRule="auto"/>
            </w:pPr>
            <w:r>
              <w:rPr>
                <w:b/>
                <w:sz w:val="18"/>
              </w:rPr>
              <w:t>Y002</w:t>
            </w:r>
          </w:p>
        </w:tc>
        <w:tc>
          <w:tcPr>
            <w:tcW w:w="1860" w:type="dxa"/>
            <w:tcMar>
              <w:top w:w="0" w:type="dxa"/>
              <w:bottom w:w="0" w:type="dxa"/>
            </w:tcMar>
            <w:vAlign w:val="center"/>
          </w:tcPr>
          <w:p w14:paraId="3653629A" w14:textId="77777777" w:rsidR="003F5A0A" w:rsidRDefault="00000000">
            <w:pPr>
              <w:keepNext/>
              <w:keepLines/>
              <w:spacing w:after="0" w:line="240" w:lineRule="auto"/>
              <w:jc w:val="right"/>
            </w:pPr>
            <w:r>
              <w:rPr>
                <w:b/>
                <w:sz w:val="18"/>
              </w:rPr>
              <w:t>1.523.807,68</w:t>
            </w:r>
          </w:p>
        </w:tc>
        <w:tc>
          <w:tcPr>
            <w:tcW w:w="1860" w:type="dxa"/>
            <w:tcMar>
              <w:top w:w="0" w:type="dxa"/>
              <w:bottom w:w="0" w:type="dxa"/>
            </w:tcMar>
            <w:vAlign w:val="center"/>
          </w:tcPr>
          <w:p w14:paraId="37FA7DAB" w14:textId="77777777" w:rsidR="003F5A0A" w:rsidRDefault="00000000">
            <w:pPr>
              <w:keepNext/>
              <w:keepLines/>
              <w:spacing w:after="0" w:line="240" w:lineRule="auto"/>
              <w:jc w:val="right"/>
            </w:pPr>
            <w:r>
              <w:rPr>
                <w:b/>
                <w:sz w:val="18"/>
              </w:rPr>
              <w:t>1.371.100,53</w:t>
            </w:r>
          </w:p>
        </w:tc>
        <w:tc>
          <w:tcPr>
            <w:tcW w:w="700" w:type="dxa"/>
            <w:tcMar>
              <w:top w:w="0" w:type="dxa"/>
              <w:bottom w:w="0" w:type="dxa"/>
            </w:tcMar>
            <w:vAlign w:val="center"/>
          </w:tcPr>
          <w:p w14:paraId="1FB3ED27" w14:textId="77777777" w:rsidR="003F5A0A" w:rsidRDefault="00000000">
            <w:pPr>
              <w:keepNext/>
              <w:keepLines/>
              <w:spacing w:after="0" w:line="240" w:lineRule="auto"/>
              <w:jc w:val="right"/>
            </w:pPr>
            <w:r>
              <w:rPr>
                <w:b/>
                <w:sz w:val="18"/>
              </w:rPr>
              <w:t>90,0</w:t>
            </w:r>
          </w:p>
        </w:tc>
      </w:tr>
      <w:tr w:rsidR="003F5A0A" w14:paraId="488C311B" w14:textId="77777777">
        <w:tblPrEx>
          <w:tblCellMar>
            <w:top w:w="0" w:type="dxa"/>
            <w:bottom w:w="0" w:type="dxa"/>
          </w:tblCellMar>
        </w:tblPrEx>
        <w:trPr>
          <w:cantSplit/>
          <w:trHeight w:val="560"/>
        </w:trPr>
        <w:tc>
          <w:tcPr>
            <w:tcW w:w="700" w:type="dxa"/>
            <w:tcMar>
              <w:top w:w="0" w:type="dxa"/>
              <w:bottom w:w="0" w:type="dxa"/>
            </w:tcMar>
            <w:vAlign w:val="center"/>
          </w:tcPr>
          <w:p w14:paraId="41939F27" w14:textId="77777777" w:rsidR="003F5A0A" w:rsidRDefault="00000000">
            <w:pPr>
              <w:keepNext/>
              <w:keepLines/>
              <w:spacing w:after="0" w:line="240" w:lineRule="auto"/>
            </w:pPr>
            <w:r>
              <w:rPr>
                <w:sz w:val="18"/>
              </w:rPr>
              <w:t>8</w:t>
            </w:r>
          </w:p>
        </w:tc>
        <w:tc>
          <w:tcPr>
            <w:tcW w:w="3180" w:type="dxa"/>
            <w:tcMar>
              <w:top w:w="0" w:type="dxa"/>
              <w:bottom w:w="0" w:type="dxa"/>
            </w:tcMar>
            <w:vAlign w:val="center"/>
          </w:tcPr>
          <w:p w14:paraId="574D75FB" w14:textId="77777777" w:rsidR="003F5A0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1B3FDB7" w14:textId="77777777" w:rsidR="003F5A0A" w:rsidRDefault="00000000">
            <w:pPr>
              <w:keepNext/>
              <w:keepLines/>
              <w:spacing w:after="0" w:line="240" w:lineRule="auto"/>
            </w:pPr>
            <w:r>
              <w:rPr>
                <w:sz w:val="18"/>
              </w:rPr>
              <w:t>8</w:t>
            </w:r>
          </w:p>
        </w:tc>
        <w:tc>
          <w:tcPr>
            <w:tcW w:w="1860" w:type="dxa"/>
            <w:tcMar>
              <w:top w:w="0" w:type="dxa"/>
              <w:bottom w:w="0" w:type="dxa"/>
            </w:tcMar>
            <w:vAlign w:val="center"/>
          </w:tcPr>
          <w:p w14:paraId="01194607" w14:textId="77777777" w:rsidR="003F5A0A" w:rsidRDefault="00000000">
            <w:pPr>
              <w:keepNext/>
              <w:keepLines/>
              <w:spacing w:after="0" w:line="240" w:lineRule="auto"/>
              <w:jc w:val="right"/>
            </w:pPr>
            <w:r>
              <w:rPr>
                <w:sz w:val="18"/>
              </w:rPr>
              <w:t>437.976,61</w:t>
            </w:r>
          </w:p>
        </w:tc>
        <w:tc>
          <w:tcPr>
            <w:tcW w:w="1860" w:type="dxa"/>
            <w:tcMar>
              <w:top w:w="0" w:type="dxa"/>
              <w:bottom w:w="0" w:type="dxa"/>
            </w:tcMar>
            <w:vAlign w:val="center"/>
          </w:tcPr>
          <w:p w14:paraId="41A02747" w14:textId="77777777" w:rsidR="003F5A0A" w:rsidRDefault="00000000">
            <w:pPr>
              <w:keepNext/>
              <w:keepLines/>
              <w:spacing w:after="0" w:line="240" w:lineRule="auto"/>
              <w:jc w:val="right"/>
            </w:pPr>
            <w:r>
              <w:rPr>
                <w:sz w:val="18"/>
              </w:rPr>
              <w:t>405.035,48</w:t>
            </w:r>
          </w:p>
        </w:tc>
        <w:tc>
          <w:tcPr>
            <w:tcW w:w="700" w:type="dxa"/>
            <w:tcMar>
              <w:top w:w="0" w:type="dxa"/>
              <w:bottom w:w="0" w:type="dxa"/>
            </w:tcMar>
            <w:vAlign w:val="center"/>
          </w:tcPr>
          <w:p w14:paraId="380F9321" w14:textId="77777777" w:rsidR="003F5A0A" w:rsidRDefault="00000000">
            <w:pPr>
              <w:keepNext/>
              <w:keepLines/>
              <w:spacing w:after="0" w:line="240" w:lineRule="auto"/>
              <w:jc w:val="right"/>
            </w:pPr>
            <w:r>
              <w:rPr>
                <w:sz w:val="18"/>
              </w:rPr>
              <w:t>92,5</w:t>
            </w:r>
          </w:p>
        </w:tc>
      </w:tr>
      <w:tr w:rsidR="003F5A0A" w14:paraId="34038BC5" w14:textId="77777777">
        <w:tblPrEx>
          <w:tblCellMar>
            <w:top w:w="0" w:type="dxa"/>
            <w:bottom w:w="0" w:type="dxa"/>
          </w:tblCellMar>
        </w:tblPrEx>
        <w:trPr>
          <w:cantSplit/>
          <w:trHeight w:val="560"/>
        </w:trPr>
        <w:tc>
          <w:tcPr>
            <w:tcW w:w="700" w:type="dxa"/>
            <w:tcMar>
              <w:top w:w="0" w:type="dxa"/>
              <w:bottom w:w="0" w:type="dxa"/>
            </w:tcMar>
            <w:vAlign w:val="center"/>
          </w:tcPr>
          <w:p w14:paraId="4544A3A9" w14:textId="77777777" w:rsidR="003F5A0A" w:rsidRDefault="00000000">
            <w:pPr>
              <w:keepNext/>
              <w:keepLines/>
              <w:spacing w:after="0" w:line="240" w:lineRule="auto"/>
            </w:pPr>
            <w:r>
              <w:rPr>
                <w:sz w:val="18"/>
              </w:rPr>
              <w:t>5</w:t>
            </w:r>
          </w:p>
        </w:tc>
        <w:tc>
          <w:tcPr>
            <w:tcW w:w="3180" w:type="dxa"/>
            <w:tcMar>
              <w:top w:w="0" w:type="dxa"/>
              <w:bottom w:w="0" w:type="dxa"/>
            </w:tcMar>
            <w:vAlign w:val="center"/>
          </w:tcPr>
          <w:p w14:paraId="754775D7" w14:textId="77777777" w:rsidR="003F5A0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180A514" w14:textId="77777777" w:rsidR="003F5A0A" w:rsidRDefault="00000000">
            <w:pPr>
              <w:keepNext/>
              <w:keepLines/>
              <w:spacing w:after="0" w:line="240" w:lineRule="auto"/>
            </w:pPr>
            <w:r>
              <w:rPr>
                <w:sz w:val="18"/>
              </w:rPr>
              <w:t>5</w:t>
            </w:r>
          </w:p>
        </w:tc>
        <w:tc>
          <w:tcPr>
            <w:tcW w:w="1860" w:type="dxa"/>
            <w:tcMar>
              <w:top w:w="0" w:type="dxa"/>
              <w:bottom w:w="0" w:type="dxa"/>
            </w:tcMar>
            <w:vAlign w:val="center"/>
          </w:tcPr>
          <w:p w14:paraId="4F49C05D" w14:textId="77777777" w:rsidR="003F5A0A" w:rsidRDefault="00000000">
            <w:pPr>
              <w:keepNext/>
              <w:keepLines/>
              <w:spacing w:after="0" w:line="240" w:lineRule="auto"/>
              <w:jc w:val="right"/>
            </w:pPr>
            <w:r>
              <w:rPr>
                <w:sz w:val="18"/>
              </w:rPr>
              <w:t>60.096,65</w:t>
            </w:r>
          </w:p>
        </w:tc>
        <w:tc>
          <w:tcPr>
            <w:tcW w:w="1860" w:type="dxa"/>
            <w:tcMar>
              <w:top w:w="0" w:type="dxa"/>
              <w:bottom w:w="0" w:type="dxa"/>
            </w:tcMar>
            <w:vAlign w:val="center"/>
          </w:tcPr>
          <w:p w14:paraId="5B65904B" w14:textId="77777777" w:rsidR="003F5A0A" w:rsidRDefault="00000000">
            <w:pPr>
              <w:keepNext/>
              <w:keepLines/>
              <w:spacing w:after="0" w:line="240" w:lineRule="auto"/>
              <w:jc w:val="right"/>
            </w:pPr>
            <w:r>
              <w:rPr>
                <w:sz w:val="18"/>
              </w:rPr>
              <w:t>66.045,95</w:t>
            </w:r>
          </w:p>
        </w:tc>
        <w:tc>
          <w:tcPr>
            <w:tcW w:w="700" w:type="dxa"/>
            <w:tcMar>
              <w:top w:w="0" w:type="dxa"/>
              <w:bottom w:w="0" w:type="dxa"/>
            </w:tcMar>
            <w:vAlign w:val="center"/>
          </w:tcPr>
          <w:p w14:paraId="625D6549" w14:textId="77777777" w:rsidR="003F5A0A" w:rsidRDefault="00000000">
            <w:pPr>
              <w:keepNext/>
              <w:keepLines/>
              <w:spacing w:after="0" w:line="240" w:lineRule="auto"/>
              <w:jc w:val="right"/>
            </w:pPr>
            <w:r>
              <w:rPr>
                <w:sz w:val="18"/>
              </w:rPr>
              <w:t>109,9</w:t>
            </w:r>
          </w:p>
        </w:tc>
      </w:tr>
      <w:tr w:rsidR="003F5A0A" w14:paraId="51B39E1D" w14:textId="77777777">
        <w:tblPrEx>
          <w:tblCellMar>
            <w:top w:w="0" w:type="dxa"/>
            <w:bottom w:w="0" w:type="dxa"/>
          </w:tblCellMar>
        </w:tblPrEx>
        <w:trPr>
          <w:cantSplit/>
          <w:trHeight w:val="560"/>
        </w:trPr>
        <w:tc>
          <w:tcPr>
            <w:tcW w:w="700" w:type="dxa"/>
            <w:tcMar>
              <w:top w:w="0" w:type="dxa"/>
              <w:bottom w:w="0" w:type="dxa"/>
            </w:tcMar>
            <w:vAlign w:val="center"/>
          </w:tcPr>
          <w:p w14:paraId="0715CDC6" w14:textId="77777777" w:rsidR="003F5A0A" w:rsidRDefault="003F5A0A">
            <w:pPr>
              <w:keepNext/>
              <w:keepLines/>
              <w:spacing w:after="0" w:line="240" w:lineRule="auto"/>
            </w:pPr>
          </w:p>
        </w:tc>
        <w:tc>
          <w:tcPr>
            <w:tcW w:w="3180" w:type="dxa"/>
            <w:tcMar>
              <w:top w:w="0" w:type="dxa"/>
              <w:bottom w:w="0" w:type="dxa"/>
            </w:tcMar>
            <w:vAlign w:val="center"/>
          </w:tcPr>
          <w:p w14:paraId="6A83EA29" w14:textId="77777777" w:rsidR="003F5A0A"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61BB20CD" w14:textId="77777777" w:rsidR="003F5A0A" w:rsidRDefault="00000000">
            <w:pPr>
              <w:keepNext/>
              <w:keepLines/>
              <w:spacing w:after="0" w:line="240" w:lineRule="auto"/>
            </w:pPr>
            <w:r>
              <w:rPr>
                <w:b/>
                <w:sz w:val="18"/>
              </w:rPr>
              <w:t>X003</w:t>
            </w:r>
          </w:p>
        </w:tc>
        <w:tc>
          <w:tcPr>
            <w:tcW w:w="1860" w:type="dxa"/>
            <w:tcMar>
              <w:top w:w="0" w:type="dxa"/>
              <w:bottom w:w="0" w:type="dxa"/>
            </w:tcMar>
            <w:vAlign w:val="center"/>
          </w:tcPr>
          <w:p w14:paraId="62E6469E" w14:textId="77777777" w:rsidR="003F5A0A" w:rsidRDefault="00000000">
            <w:pPr>
              <w:keepNext/>
              <w:keepLines/>
              <w:spacing w:after="0" w:line="240" w:lineRule="auto"/>
              <w:jc w:val="right"/>
            </w:pPr>
            <w:r>
              <w:rPr>
                <w:b/>
                <w:sz w:val="18"/>
              </w:rPr>
              <w:t>377.879,96</w:t>
            </w:r>
          </w:p>
        </w:tc>
        <w:tc>
          <w:tcPr>
            <w:tcW w:w="1860" w:type="dxa"/>
            <w:tcMar>
              <w:top w:w="0" w:type="dxa"/>
              <w:bottom w:w="0" w:type="dxa"/>
            </w:tcMar>
            <w:vAlign w:val="center"/>
          </w:tcPr>
          <w:p w14:paraId="372FF5B0" w14:textId="77777777" w:rsidR="003F5A0A" w:rsidRDefault="00000000">
            <w:pPr>
              <w:keepNext/>
              <w:keepLines/>
              <w:spacing w:after="0" w:line="240" w:lineRule="auto"/>
              <w:jc w:val="right"/>
            </w:pPr>
            <w:r>
              <w:rPr>
                <w:b/>
                <w:sz w:val="18"/>
              </w:rPr>
              <w:t>338.989,53</w:t>
            </w:r>
          </w:p>
        </w:tc>
        <w:tc>
          <w:tcPr>
            <w:tcW w:w="700" w:type="dxa"/>
            <w:tcMar>
              <w:top w:w="0" w:type="dxa"/>
              <w:bottom w:w="0" w:type="dxa"/>
            </w:tcMar>
            <w:vAlign w:val="center"/>
          </w:tcPr>
          <w:p w14:paraId="45F1360E" w14:textId="77777777" w:rsidR="003F5A0A" w:rsidRDefault="00000000">
            <w:pPr>
              <w:keepNext/>
              <w:keepLines/>
              <w:spacing w:after="0" w:line="240" w:lineRule="auto"/>
              <w:jc w:val="right"/>
            </w:pPr>
            <w:r>
              <w:rPr>
                <w:b/>
                <w:sz w:val="18"/>
              </w:rPr>
              <w:t>89,7</w:t>
            </w:r>
          </w:p>
        </w:tc>
      </w:tr>
      <w:tr w:rsidR="003F5A0A" w14:paraId="044ECD8F" w14:textId="77777777">
        <w:tblPrEx>
          <w:tblCellMar>
            <w:top w:w="0" w:type="dxa"/>
            <w:bottom w:w="0" w:type="dxa"/>
          </w:tblCellMar>
        </w:tblPrEx>
        <w:trPr>
          <w:cantSplit/>
          <w:trHeight w:val="560"/>
        </w:trPr>
        <w:tc>
          <w:tcPr>
            <w:tcW w:w="700" w:type="dxa"/>
            <w:tcMar>
              <w:top w:w="0" w:type="dxa"/>
              <w:bottom w:w="0" w:type="dxa"/>
            </w:tcMar>
            <w:vAlign w:val="center"/>
          </w:tcPr>
          <w:p w14:paraId="72C58F01" w14:textId="77777777" w:rsidR="003F5A0A" w:rsidRDefault="003F5A0A">
            <w:pPr>
              <w:keepNext/>
              <w:keepLines/>
              <w:spacing w:after="0" w:line="240" w:lineRule="auto"/>
            </w:pPr>
          </w:p>
        </w:tc>
        <w:tc>
          <w:tcPr>
            <w:tcW w:w="3180" w:type="dxa"/>
            <w:tcMar>
              <w:top w:w="0" w:type="dxa"/>
              <w:bottom w:w="0" w:type="dxa"/>
            </w:tcMar>
            <w:vAlign w:val="center"/>
          </w:tcPr>
          <w:p w14:paraId="200C1CB7" w14:textId="77777777" w:rsidR="003F5A0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BB65BFF" w14:textId="77777777" w:rsidR="003F5A0A" w:rsidRDefault="00000000">
            <w:pPr>
              <w:keepNext/>
              <w:keepLines/>
              <w:spacing w:after="0" w:line="240" w:lineRule="auto"/>
            </w:pPr>
            <w:r>
              <w:rPr>
                <w:b/>
                <w:sz w:val="18"/>
              </w:rPr>
              <w:t>Y005</w:t>
            </w:r>
          </w:p>
        </w:tc>
        <w:tc>
          <w:tcPr>
            <w:tcW w:w="1860" w:type="dxa"/>
            <w:tcMar>
              <w:top w:w="0" w:type="dxa"/>
              <w:bottom w:w="0" w:type="dxa"/>
            </w:tcMar>
            <w:vAlign w:val="center"/>
          </w:tcPr>
          <w:p w14:paraId="6DF3EBFF" w14:textId="77777777" w:rsidR="003F5A0A" w:rsidRDefault="00000000">
            <w:pPr>
              <w:keepNext/>
              <w:keepLines/>
              <w:spacing w:after="0" w:line="240" w:lineRule="auto"/>
              <w:jc w:val="right"/>
            </w:pPr>
            <w:r>
              <w:rPr>
                <w:b/>
                <w:sz w:val="18"/>
              </w:rPr>
              <w:t>0,00</w:t>
            </w:r>
          </w:p>
        </w:tc>
        <w:tc>
          <w:tcPr>
            <w:tcW w:w="1860" w:type="dxa"/>
            <w:tcMar>
              <w:top w:w="0" w:type="dxa"/>
              <w:bottom w:w="0" w:type="dxa"/>
            </w:tcMar>
            <w:vAlign w:val="center"/>
          </w:tcPr>
          <w:p w14:paraId="41B195D7" w14:textId="77777777" w:rsidR="003F5A0A" w:rsidRDefault="00000000">
            <w:pPr>
              <w:keepNext/>
              <w:keepLines/>
              <w:spacing w:after="0" w:line="240" w:lineRule="auto"/>
              <w:jc w:val="right"/>
            </w:pPr>
            <w:r>
              <w:rPr>
                <w:b/>
                <w:sz w:val="18"/>
              </w:rPr>
              <w:t>144.695,55</w:t>
            </w:r>
          </w:p>
        </w:tc>
        <w:tc>
          <w:tcPr>
            <w:tcW w:w="700" w:type="dxa"/>
            <w:tcMar>
              <w:top w:w="0" w:type="dxa"/>
              <w:bottom w:w="0" w:type="dxa"/>
            </w:tcMar>
            <w:vAlign w:val="center"/>
          </w:tcPr>
          <w:p w14:paraId="54CE2ADA" w14:textId="77777777" w:rsidR="003F5A0A" w:rsidRDefault="00000000">
            <w:pPr>
              <w:keepNext/>
              <w:keepLines/>
              <w:spacing w:after="0" w:line="240" w:lineRule="auto"/>
              <w:jc w:val="right"/>
            </w:pPr>
            <w:r>
              <w:rPr>
                <w:b/>
                <w:sz w:val="18"/>
              </w:rPr>
              <w:t>-</w:t>
            </w:r>
          </w:p>
        </w:tc>
      </w:tr>
    </w:tbl>
    <w:p w14:paraId="5E308AB0" w14:textId="77777777" w:rsidR="003F5A0A" w:rsidRDefault="003F5A0A">
      <w:pPr>
        <w:spacing w:after="0"/>
      </w:pPr>
    </w:p>
    <w:p w14:paraId="0745746F" w14:textId="77777777" w:rsidR="003F5A0A" w:rsidRDefault="00000000">
      <w:pPr>
        <w:spacing w:line="240" w:lineRule="auto"/>
        <w:jc w:val="both"/>
      </w:pPr>
      <w:r>
        <w:t xml:space="preserve">U izvještajnom razdoblju od 1. siječnja do 30. lipnja 2025. godine u ukupnom konsolidiranom izvještaju ostvaren je višak prihoda poslovanja u iznosu 887.415,45 EUR iz razloga što su prihodi poslovanja (izazvanim najvećim djelom prihodima od poreza), premašili rashode poslovanja. Kod rashoda za nabavu nefinancijske imovine evidentirano je 1.371.100.53 EUR, dok prihoda od prodaje nefinancijske imovine nije bilo, pa je iskazan manjak prihoda od nefinancijske imovine u istom iznosu. Na razini ukupnog rezultata, u izvještajnom razdoblju iskazan je manjak prihoda i primitaka u iznosu od 144.695,55 EUR, koji proizlazi iz većih </w:t>
      </w:r>
      <w:r>
        <w:lastRenderedPageBreak/>
        <w:t>rashoda za nabavu nefinancijske imovine u odnosu na višak poslovanja i financiranja, rezultat je za sada takav no čeka se povrat sredstava EU nakon kontrole od strane agencija.</w:t>
      </w:r>
    </w:p>
    <w:p w14:paraId="0E90686C" w14:textId="77777777" w:rsidR="003F5A0A" w:rsidRDefault="00000000">
      <w:r>
        <w:br/>
      </w:r>
    </w:p>
    <w:p w14:paraId="55029D26" w14:textId="77777777" w:rsidR="003F5A0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6B1CC86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539132"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F61591"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60C73"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38A180"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9864F9"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666425" w14:textId="77777777" w:rsidR="003F5A0A" w:rsidRDefault="00000000">
            <w:pPr>
              <w:keepNext/>
              <w:keepLines/>
              <w:spacing w:after="0" w:line="240" w:lineRule="auto"/>
              <w:jc w:val="center"/>
            </w:pPr>
            <w:r>
              <w:rPr>
                <w:b/>
                <w:sz w:val="18"/>
              </w:rPr>
              <w:t>Indeks (%)</w:t>
            </w:r>
          </w:p>
        </w:tc>
      </w:tr>
      <w:tr w:rsidR="003F5A0A" w14:paraId="66D70ADA" w14:textId="77777777">
        <w:tblPrEx>
          <w:tblCellMar>
            <w:top w:w="0" w:type="dxa"/>
            <w:bottom w:w="0" w:type="dxa"/>
          </w:tblCellMar>
        </w:tblPrEx>
        <w:trPr>
          <w:cantSplit/>
          <w:trHeight w:val="560"/>
        </w:trPr>
        <w:tc>
          <w:tcPr>
            <w:tcW w:w="700" w:type="dxa"/>
            <w:tcMar>
              <w:top w:w="0" w:type="dxa"/>
              <w:bottom w:w="0" w:type="dxa"/>
            </w:tcMar>
            <w:vAlign w:val="center"/>
          </w:tcPr>
          <w:p w14:paraId="4A4176B4" w14:textId="77777777" w:rsidR="003F5A0A" w:rsidRDefault="00000000">
            <w:pPr>
              <w:keepNext/>
              <w:keepLines/>
              <w:spacing w:after="0" w:line="240" w:lineRule="auto"/>
            </w:pPr>
            <w:r>
              <w:rPr>
                <w:sz w:val="18"/>
              </w:rPr>
              <w:t>63</w:t>
            </w:r>
          </w:p>
        </w:tc>
        <w:tc>
          <w:tcPr>
            <w:tcW w:w="3180" w:type="dxa"/>
            <w:tcMar>
              <w:top w:w="0" w:type="dxa"/>
              <w:bottom w:w="0" w:type="dxa"/>
            </w:tcMar>
            <w:vAlign w:val="center"/>
          </w:tcPr>
          <w:p w14:paraId="4C73BC52" w14:textId="77777777" w:rsidR="003F5A0A"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0F0C62F8" w14:textId="77777777" w:rsidR="003F5A0A" w:rsidRDefault="00000000">
            <w:pPr>
              <w:keepNext/>
              <w:keepLines/>
              <w:spacing w:after="0" w:line="240" w:lineRule="auto"/>
            </w:pPr>
            <w:r>
              <w:rPr>
                <w:sz w:val="18"/>
              </w:rPr>
              <w:t>63</w:t>
            </w:r>
          </w:p>
        </w:tc>
        <w:tc>
          <w:tcPr>
            <w:tcW w:w="1860" w:type="dxa"/>
            <w:tcMar>
              <w:top w:w="0" w:type="dxa"/>
              <w:bottom w:w="0" w:type="dxa"/>
            </w:tcMar>
            <w:vAlign w:val="center"/>
          </w:tcPr>
          <w:p w14:paraId="693D7B04" w14:textId="77777777" w:rsidR="003F5A0A" w:rsidRDefault="00000000">
            <w:pPr>
              <w:keepNext/>
              <w:keepLines/>
              <w:spacing w:after="0" w:line="240" w:lineRule="auto"/>
              <w:jc w:val="right"/>
            </w:pPr>
            <w:r>
              <w:rPr>
                <w:sz w:val="18"/>
              </w:rPr>
              <w:t>1.237.629,36</w:t>
            </w:r>
          </w:p>
        </w:tc>
        <w:tc>
          <w:tcPr>
            <w:tcW w:w="1860" w:type="dxa"/>
            <w:tcMar>
              <w:top w:w="0" w:type="dxa"/>
              <w:bottom w:w="0" w:type="dxa"/>
            </w:tcMar>
            <w:vAlign w:val="center"/>
          </w:tcPr>
          <w:p w14:paraId="76A527C2" w14:textId="77777777" w:rsidR="003F5A0A" w:rsidRDefault="00000000">
            <w:pPr>
              <w:keepNext/>
              <w:keepLines/>
              <w:spacing w:after="0" w:line="240" w:lineRule="auto"/>
              <w:jc w:val="right"/>
            </w:pPr>
            <w:r>
              <w:rPr>
                <w:sz w:val="18"/>
              </w:rPr>
              <w:t>793.834,62</w:t>
            </w:r>
          </w:p>
        </w:tc>
        <w:tc>
          <w:tcPr>
            <w:tcW w:w="700" w:type="dxa"/>
            <w:tcMar>
              <w:top w:w="0" w:type="dxa"/>
              <w:bottom w:w="0" w:type="dxa"/>
            </w:tcMar>
            <w:vAlign w:val="center"/>
          </w:tcPr>
          <w:p w14:paraId="38F33F7A" w14:textId="77777777" w:rsidR="003F5A0A" w:rsidRDefault="00000000">
            <w:pPr>
              <w:keepNext/>
              <w:keepLines/>
              <w:spacing w:after="0" w:line="240" w:lineRule="auto"/>
              <w:jc w:val="right"/>
            </w:pPr>
            <w:r>
              <w:rPr>
                <w:sz w:val="18"/>
              </w:rPr>
              <w:t>64,1</w:t>
            </w:r>
          </w:p>
        </w:tc>
      </w:tr>
    </w:tbl>
    <w:p w14:paraId="62C83DBC" w14:textId="77777777" w:rsidR="003F5A0A" w:rsidRDefault="003F5A0A">
      <w:pPr>
        <w:spacing w:after="0"/>
      </w:pPr>
    </w:p>
    <w:p w14:paraId="36F54EC2" w14:textId="77777777" w:rsidR="003F5A0A" w:rsidRDefault="00000000">
      <w:pPr>
        <w:spacing w:line="240" w:lineRule="auto"/>
        <w:jc w:val="both"/>
      </w:pPr>
      <w:r>
        <w:t>Pad prihoda od pomoći iz inozemstva i od subjekata unutar općeg proračuna za 488.103,74 EUR odnosi se na smanjeno korištenje sredstava EU fondova i pomoći iz drugih proračuna u izvještajnom razdoblju. Tijekom prethodne godine povučena su značajna sredstva za projekte financirane iz EU, dok u ovoj godini nije realizirana isplata većih novih pomoći zbog faza provedbe projekata i kasnijeg odobrenja povrata sredstava.</w:t>
      </w:r>
    </w:p>
    <w:p w14:paraId="7BDB2CCF" w14:textId="77777777" w:rsidR="003F5A0A" w:rsidRDefault="003F5A0A"/>
    <w:p w14:paraId="2252F437" w14:textId="77777777" w:rsidR="003F5A0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5CB52D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6FB4ED"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7CC4DC"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9900D2"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C1240D"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90BD32"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B70E86" w14:textId="77777777" w:rsidR="003F5A0A" w:rsidRDefault="00000000">
            <w:pPr>
              <w:keepNext/>
              <w:keepLines/>
              <w:spacing w:after="0" w:line="240" w:lineRule="auto"/>
              <w:jc w:val="center"/>
            </w:pPr>
            <w:r>
              <w:rPr>
                <w:b/>
                <w:sz w:val="18"/>
              </w:rPr>
              <w:t>Indeks (%)</w:t>
            </w:r>
          </w:p>
        </w:tc>
      </w:tr>
      <w:tr w:rsidR="003F5A0A" w14:paraId="1F70DB2E" w14:textId="77777777">
        <w:tblPrEx>
          <w:tblCellMar>
            <w:top w:w="0" w:type="dxa"/>
            <w:bottom w:w="0" w:type="dxa"/>
          </w:tblCellMar>
        </w:tblPrEx>
        <w:trPr>
          <w:cantSplit/>
          <w:trHeight w:val="560"/>
        </w:trPr>
        <w:tc>
          <w:tcPr>
            <w:tcW w:w="700" w:type="dxa"/>
            <w:tcMar>
              <w:top w:w="0" w:type="dxa"/>
              <w:bottom w:w="0" w:type="dxa"/>
            </w:tcMar>
            <w:vAlign w:val="center"/>
          </w:tcPr>
          <w:p w14:paraId="2DA82CEF" w14:textId="77777777" w:rsidR="003F5A0A" w:rsidRDefault="00000000">
            <w:pPr>
              <w:keepNext/>
              <w:keepLines/>
              <w:spacing w:after="0" w:line="240" w:lineRule="auto"/>
            </w:pPr>
            <w:r>
              <w:rPr>
                <w:sz w:val="18"/>
              </w:rPr>
              <w:t>65</w:t>
            </w:r>
          </w:p>
        </w:tc>
        <w:tc>
          <w:tcPr>
            <w:tcW w:w="3180" w:type="dxa"/>
            <w:tcMar>
              <w:top w:w="0" w:type="dxa"/>
              <w:bottom w:w="0" w:type="dxa"/>
            </w:tcMar>
            <w:vAlign w:val="center"/>
          </w:tcPr>
          <w:p w14:paraId="27D0AA09" w14:textId="77777777" w:rsidR="003F5A0A"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0B17F39D" w14:textId="77777777" w:rsidR="003F5A0A" w:rsidRDefault="00000000">
            <w:pPr>
              <w:keepNext/>
              <w:keepLines/>
              <w:spacing w:after="0" w:line="240" w:lineRule="auto"/>
            </w:pPr>
            <w:r>
              <w:rPr>
                <w:sz w:val="18"/>
              </w:rPr>
              <w:t>65</w:t>
            </w:r>
          </w:p>
        </w:tc>
        <w:tc>
          <w:tcPr>
            <w:tcW w:w="1860" w:type="dxa"/>
            <w:tcMar>
              <w:top w:w="0" w:type="dxa"/>
              <w:bottom w:w="0" w:type="dxa"/>
            </w:tcMar>
            <w:vAlign w:val="center"/>
          </w:tcPr>
          <w:p w14:paraId="30E9876E" w14:textId="77777777" w:rsidR="003F5A0A" w:rsidRDefault="00000000">
            <w:pPr>
              <w:keepNext/>
              <w:keepLines/>
              <w:spacing w:after="0" w:line="240" w:lineRule="auto"/>
              <w:jc w:val="right"/>
            </w:pPr>
            <w:r>
              <w:rPr>
                <w:sz w:val="18"/>
              </w:rPr>
              <w:t>217.792,39</w:t>
            </w:r>
          </w:p>
        </w:tc>
        <w:tc>
          <w:tcPr>
            <w:tcW w:w="1860" w:type="dxa"/>
            <w:tcMar>
              <w:top w:w="0" w:type="dxa"/>
              <w:bottom w:w="0" w:type="dxa"/>
            </w:tcMar>
            <w:vAlign w:val="center"/>
          </w:tcPr>
          <w:p w14:paraId="09FD660C" w14:textId="77777777" w:rsidR="003F5A0A" w:rsidRDefault="00000000">
            <w:pPr>
              <w:keepNext/>
              <w:keepLines/>
              <w:spacing w:after="0" w:line="240" w:lineRule="auto"/>
              <w:jc w:val="right"/>
            </w:pPr>
            <w:r>
              <w:rPr>
                <w:sz w:val="18"/>
              </w:rPr>
              <w:t>167.319,79</w:t>
            </w:r>
          </w:p>
        </w:tc>
        <w:tc>
          <w:tcPr>
            <w:tcW w:w="700" w:type="dxa"/>
            <w:tcMar>
              <w:top w:w="0" w:type="dxa"/>
              <w:bottom w:w="0" w:type="dxa"/>
            </w:tcMar>
            <w:vAlign w:val="center"/>
          </w:tcPr>
          <w:p w14:paraId="5940A117" w14:textId="77777777" w:rsidR="003F5A0A" w:rsidRDefault="00000000">
            <w:pPr>
              <w:keepNext/>
              <w:keepLines/>
              <w:spacing w:after="0" w:line="240" w:lineRule="auto"/>
              <w:jc w:val="right"/>
            </w:pPr>
            <w:r>
              <w:rPr>
                <w:sz w:val="18"/>
              </w:rPr>
              <w:t>76,8</w:t>
            </w:r>
          </w:p>
        </w:tc>
      </w:tr>
    </w:tbl>
    <w:p w14:paraId="479535CC" w14:textId="77777777" w:rsidR="003F5A0A" w:rsidRDefault="003F5A0A">
      <w:pPr>
        <w:spacing w:after="0"/>
      </w:pPr>
    </w:p>
    <w:p w14:paraId="423DB4E4" w14:textId="77777777" w:rsidR="003F5A0A" w:rsidRDefault="00000000">
      <w:pPr>
        <w:spacing w:line="240" w:lineRule="auto"/>
        <w:jc w:val="both"/>
      </w:pPr>
      <w:r>
        <w:t>Smanjenje prihoda od upravnih i administrativnih pristojbi za 50.472,60 EUR u odnosu na izvještajno razdoblje prethodne godine rezultat je ne naplaćenih potraživanja za komunalne doprinose i naknade u izvještajnom razdoblju.</w:t>
      </w:r>
    </w:p>
    <w:p w14:paraId="54516A3D" w14:textId="77777777" w:rsidR="003F5A0A" w:rsidRDefault="003F5A0A"/>
    <w:p w14:paraId="52659714" w14:textId="77777777" w:rsidR="003F5A0A"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3D9FB9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61A9D8"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BD7333"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F93A0E"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34EC59"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BF430"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B3B7D2" w14:textId="77777777" w:rsidR="003F5A0A" w:rsidRDefault="00000000">
            <w:pPr>
              <w:keepNext/>
              <w:keepLines/>
              <w:spacing w:after="0" w:line="240" w:lineRule="auto"/>
              <w:jc w:val="center"/>
            </w:pPr>
            <w:r>
              <w:rPr>
                <w:b/>
                <w:sz w:val="18"/>
              </w:rPr>
              <w:t>Indeks (%)</w:t>
            </w:r>
          </w:p>
        </w:tc>
      </w:tr>
      <w:tr w:rsidR="003F5A0A" w14:paraId="20FD3D08" w14:textId="77777777">
        <w:tblPrEx>
          <w:tblCellMar>
            <w:top w:w="0" w:type="dxa"/>
            <w:bottom w:w="0" w:type="dxa"/>
          </w:tblCellMar>
        </w:tblPrEx>
        <w:trPr>
          <w:cantSplit/>
          <w:trHeight w:val="560"/>
        </w:trPr>
        <w:tc>
          <w:tcPr>
            <w:tcW w:w="700" w:type="dxa"/>
            <w:tcMar>
              <w:top w:w="0" w:type="dxa"/>
              <w:bottom w:w="0" w:type="dxa"/>
            </w:tcMar>
            <w:vAlign w:val="center"/>
          </w:tcPr>
          <w:p w14:paraId="33A4BE28" w14:textId="77777777" w:rsidR="003F5A0A" w:rsidRDefault="00000000">
            <w:pPr>
              <w:keepNext/>
              <w:keepLines/>
              <w:spacing w:after="0" w:line="240" w:lineRule="auto"/>
            </w:pPr>
            <w:r>
              <w:rPr>
                <w:sz w:val="18"/>
              </w:rPr>
              <w:t>31</w:t>
            </w:r>
          </w:p>
        </w:tc>
        <w:tc>
          <w:tcPr>
            <w:tcW w:w="3180" w:type="dxa"/>
            <w:tcMar>
              <w:top w:w="0" w:type="dxa"/>
              <w:bottom w:w="0" w:type="dxa"/>
            </w:tcMar>
            <w:vAlign w:val="center"/>
          </w:tcPr>
          <w:p w14:paraId="521FD71A" w14:textId="77777777" w:rsidR="003F5A0A"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A8BE0BB" w14:textId="77777777" w:rsidR="003F5A0A" w:rsidRDefault="00000000">
            <w:pPr>
              <w:keepNext/>
              <w:keepLines/>
              <w:spacing w:after="0" w:line="240" w:lineRule="auto"/>
            </w:pPr>
            <w:r>
              <w:rPr>
                <w:sz w:val="18"/>
              </w:rPr>
              <w:t>31</w:t>
            </w:r>
          </w:p>
        </w:tc>
        <w:tc>
          <w:tcPr>
            <w:tcW w:w="1860" w:type="dxa"/>
            <w:tcMar>
              <w:top w:w="0" w:type="dxa"/>
              <w:bottom w:w="0" w:type="dxa"/>
            </w:tcMar>
            <w:vAlign w:val="center"/>
          </w:tcPr>
          <w:p w14:paraId="53392912" w14:textId="77777777" w:rsidR="003F5A0A" w:rsidRDefault="00000000">
            <w:pPr>
              <w:keepNext/>
              <w:keepLines/>
              <w:spacing w:after="0" w:line="240" w:lineRule="auto"/>
              <w:jc w:val="right"/>
            </w:pPr>
            <w:r>
              <w:rPr>
                <w:sz w:val="18"/>
              </w:rPr>
              <w:t>383.278,42</w:t>
            </w:r>
          </w:p>
        </w:tc>
        <w:tc>
          <w:tcPr>
            <w:tcW w:w="1860" w:type="dxa"/>
            <w:tcMar>
              <w:top w:w="0" w:type="dxa"/>
              <w:bottom w:w="0" w:type="dxa"/>
            </w:tcMar>
            <w:vAlign w:val="center"/>
          </w:tcPr>
          <w:p w14:paraId="52E967C9" w14:textId="77777777" w:rsidR="003F5A0A" w:rsidRDefault="00000000">
            <w:pPr>
              <w:keepNext/>
              <w:keepLines/>
              <w:spacing w:after="0" w:line="240" w:lineRule="auto"/>
              <w:jc w:val="right"/>
            </w:pPr>
            <w:r>
              <w:rPr>
                <w:sz w:val="18"/>
              </w:rPr>
              <w:t>582.634,86</w:t>
            </w:r>
          </w:p>
        </w:tc>
        <w:tc>
          <w:tcPr>
            <w:tcW w:w="700" w:type="dxa"/>
            <w:tcMar>
              <w:top w:w="0" w:type="dxa"/>
              <w:bottom w:w="0" w:type="dxa"/>
            </w:tcMar>
            <w:vAlign w:val="center"/>
          </w:tcPr>
          <w:p w14:paraId="5F3F7876" w14:textId="77777777" w:rsidR="003F5A0A" w:rsidRDefault="00000000">
            <w:pPr>
              <w:keepNext/>
              <w:keepLines/>
              <w:spacing w:after="0" w:line="240" w:lineRule="auto"/>
              <w:jc w:val="right"/>
            </w:pPr>
            <w:r>
              <w:rPr>
                <w:sz w:val="18"/>
              </w:rPr>
              <w:t>152,0</w:t>
            </w:r>
          </w:p>
        </w:tc>
      </w:tr>
    </w:tbl>
    <w:p w14:paraId="2E1B208B" w14:textId="77777777" w:rsidR="003F5A0A" w:rsidRDefault="003F5A0A">
      <w:pPr>
        <w:spacing w:after="0"/>
      </w:pPr>
    </w:p>
    <w:p w14:paraId="61BC36A8" w14:textId="77777777" w:rsidR="003F5A0A" w:rsidRDefault="00000000">
      <w:pPr>
        <w:spacing w:line="240" w:lineRule="auto"/>
        <w:jc w:val="both"/>
      </w:pPr>
      <w:r>
        <w:t>Porast rashoda za zaposlene za 199.356,44 EUR u odnosu na izvještajno razdoblje prethodne godine rezultat je rasta bruto plaći službenika i namještenika Jedinstvenog upravnog odjela Grada Zlatara, tj. rasta osnovice za obračun plaće (temeljem Odluke o visini osnovice za obračun plaće službenika i namještenika u Jedinstvenom upravnom odjelu Grada Zlatara koja je stupila na snagu početkom godine).Također, rasle su plaće zaposlenika u vrtiću i ostalim proračunskim korisnicima Grada Zlatara.</w:t>
      </w:r>
    </w:p>
    <w:p w14:paraId="0C89B3C9" w14:textId="77777777" w:rsidR="003F5A0A" w:rsidRDefault="003F5A0A"/>
    <w:p w14:paraId="19C2D6F3" w14:textId="77777777" w:rsidR="003F5A0A"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36753E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CF334"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CB044F"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10C2F"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ED5DD7"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35B0C3"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CAF065" w14:textId="77777777" w:rsidR="003F5A0A" w:rsidRDefault="00000000">
            <w:pPr>
              <w:keepNext/>
              <w:keepLines/>
              <w:spacing w:after="0" w:line="240" w:lineRule="auto"/>
              <w:jc w:val="center"/>
            </w:pPr>
            <w:r>
              <w:rPr>
                <w:b/>
                <w:sz w:val="18"/>
              </w:rPr>
              <w:t>Indeks (%)</w:t>
            </w:r>
          </w:p>
        </w:tc>
      </w:tr>
      <w:tr w:rsidR="003F5A0A" w14:paraId="1D399B07" w14:textId="77777777">
        <w:tblPrEx>
          <w:tblCellMar>
            <w:top w:w="0" w:type="dxa"/>
            <w:bottom w:w="0" w:type="dxa"/>
          </w:tblCellMar>
        </w:tblPrEx>
        <w:trPr>
          <w:cantSplit/>
          <w:trHeight w:val="560"/>
        </w:trPr>
        <w:tc>
          <w:tcPr>
            <w:tcW w:w="700" w:type="dxa"/>
            <w:tcMar>
              <w:top w:w="0" w:type="dxa"/>
              <w:bottom w:w="0" w:type="dxa"/>
            </w:tcMar>
            <w:vAlign w:val="center"/>
          </w:tcPr>
          <w:p w14:paraId="4AE9302B" w14:textId="77777777" w:rsidR="003F5A0A" w:rsidRDefault="00000000">
            <w:pPr>
              <w:keepNext/>
              <w:keepLines/>
              <w:spacing w:after="0" w:line="240" w:lineRule="auto"/>
            </w:pPr>
            <w:r>
              <w:rPr>
                <w:sz w:val="18"/>
              </w:rPr>
              <w:t>32</w:t>
            </w:r>
          </w:p>
        </w:tc>
        <w:tc>
          <w:tcPr>
            <w:tcW w:w="3180" w:type="dxa"/>
            <w:tcMar>
              <w:top w:w="0" w:type="dxa"/>
              <w:bottom w:w="0" w:type="dxa"/>
            </w:tcMar>
            <w:vAlign w:val="center"/>
          </w:tcPr>
          <w:p w14:paraId="6EE9C785" w14:textId="77777777" w:rsidR="003F5A0A"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19983AB8" w14:textId="77777777" w:rsidR="003F5A0A" w:rsidRDefault="00000000">
            <w:pPr>
              <w:keepNext/>
              <w:keepLines/>
              <w:spacing w:after="0" w:line="240" w:lineRule="auto"/>
            </w:pPr>
            <w:r>
              <w:rPr>
                <w:sz w:val="18"/>
              </w:rPr>
              <w:t>32</w:t>
            </w:r>
          </w:p>
        </w:tc>
        <w:tc>
          <w:tcPr>
            <w:tcW w:w="1860" w:type="dxa"/>
            <w:tcMar>
              <w:top w:w="0" w:type="dxa"/>
              <w:bottom w:w="0" w:type="dxa"/>
            </w:tcMar>
            <w:vAlign w:val="center"/>
          </w:tcPr>
          <w:p w14:paraId="00117300" w14:textId="77777777" w:rsidR="003F5A0A" w:rsidRDefault="00000000">
            <w:pPr>
              <w:keepNext/>
              <w:keepLines/>
              <w:spacing w:after="0" w:line="240" w:lineRule="auto"/>
              <w:jc w:val="right"/>
            </w:pPr>
            <w:r>
              <w:rPr>
                <w:sz w:val="18"/>
              </w:rPr>
              <w:t>736.898,27</w:t>
            </w:r>
          </w:p>
        </w:tc>
        <w:tc>
          <w:tcPr>
            <w:tcW w:w="1860" w:type="dxa"/>
            <w:tcMar>
              <w:top w:w="0" w:type="dxa"/>
              <w:bottom w:w="0" w:type="dxa"/>
            </w:tcMar>
            <w:vAlign w:val="center"/>
          </w:tcPr>
          <w:p w14:paraId="3875656C" w14:textId="77777777" w:rsidR="003F5A0A" w:rsidRDefault="00000000">
            <w:pPr>
              <w:keepNext/>
              <w:keepLines/>
              <w:spacing w:after="0" w:line="240" w:lineRule="auto"/>
              <w:jc w:val="right"/>
            </w:pPr>
            <w:r>
              <w:rPr>
                <w:sz w:val="18"/>
              </w:rPr>
              <w:t>845.163,20</w:t>
            </w:r>
          </w:p>
        </w:tc>
        <w:tc>
          <w:tcPr>
            <w:tcW w:w="700" w:type="dxa"/>
            <w:tcMar>
              <w:top w:w="0" w:type="dxa"/>
              <w:bottom w:w="0" w:type="dxa"/>
            </w:tcMar>
            <w:vAlign w:val="center"/>
          </w:tcPr>
          <w:p w14:paraId="0AC0B056" w14:textId="77777777" w:rsidR="003F5A0A" w:rsidRDefault="00000000">
            <w:pPr>
              <w:keepNext/>
              <w:keepLines/>
              <w:spacing w:after="0" w:line="240" w:lineRule="auto"/>
              <w:jc w:val="right"/>
            </w:pPr>
            <w:r>
              <w:rPr>
                <w:sz w:val="18"/>
              </w:rPr>
              <w:t>114,7</w:t>
            </w:r>
          </w:p>
        </w:tc>
      </w:tr>
    </w:tbl>
    <w:p w14:paraId="45FD0F78" w14:textId="77777777" w:rsidR="003F5A0A" w:rsidRDefault="003F5A0A">
      <w:pPr>
        <w:spacing w:after="0"/>
      </w:pPr>
    </w:p>
    <w:p w14:paraId="184743B7" w14:textId="77777777" w:rsidR="003F5A0A" w:rsidRDefault="00000000">
      <w:pPr>
        <w:spacing w:line="240" w:lineRule="auto"/>
        <w:jc w:val="both"/>
      </w:pPr>
      <w:r>
        <w:t>Rast materijalnih rashoda za 108.264,93 EUR u odnosu na izvještajno razdoblje prethodne godine nastao je zbog povećanih cijena energenata, komunalnih i uslužnih troškova, ali i rasta troškova održavanja imovine, uređenja javnih površina te nabavku novog uredskog materijala i opreme za potrebe zaposlenika grada i proračunskih korisnika.</w:t>
      </w:r>
    </w:p>
    <w:p w14:paraId="00FD8426" w14:textId="77777777" w:rsidR="003F5A0A" w:rsidRDefault="003F5A0A"/>
    <w:p w14:paraId="18C34FEB" w14:textId="77777777" w:rsidR="003F5A0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620A321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DA0FF"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762593"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C4CCF"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6B7F92"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09E872"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27202C" w14:textId="77777777" w:rsidR="003F5A0A" w:rsidRDefault="00000000">
            <w:pPr>
              <w:keepNext/>
              <w:keepLines/>
              <w:spacing w:after="0" w:line="240" w:lineRule="auto"/>
              <w:jc w:val="center"/>
            </w:pPr>
            <w:r>
              <w:rPr>
                <w:b/>
                <w:sz w:val="18"/>
              </w:rPr>
              <w:t>Indeks (%)</w:t>
            </w:r>
          </w:p>
        </w:tc>
      </w:tr>
      <w:tr w:rsidR="003F5A0A" w14:paraId="0A5162E2" w14:textId="77777777">
        <w:tblPrEx>
          <w:tblCellMar>
            <w:top w:w="0" w:type="dxa"/>
            <w:bottom w:w="0" w:type="dxa"/>
          </w:tblCellMar>
        </w:tblPrEx>
        <w:trPr>
          <w:cantSplit/>
          <w:trHeight w:val="560"/>
        </w:trPr>
        <w:tc>
          <w:tcPr>
            <w:tcW w:w="700" w:type="dxa"/>
            <w:tcMar>
              <w:top w:w="0" w:type="dxa"/>
              <w:bottom w:w="0" w:type="dxa"/>
            </w:tcMar>
            <w:vAlign w:val="center"/>
          </w:tcPr>
          <w:p w14:paraId="3C3185BC" w14:textId="77777777" w:rsidR="003F5A0A" w:rsidRDefault="00000000">
            <w:pPr>
              <w:keepNext/>
              <w:keepLines/>
              <w:spacing w:after="0" w:line="240" w:lineRule="auto"/>
            </w:pPr>
            <w:r>
              <w:rPr>
                <w:sz w:val="18"/>
              </w:rPr>
              <w:t>37</w:t>
            </w:r>
          </w:p>
        </w:tc>
        <w:tc>
          <w:tcPr>
            <w:tcW w:w="3180" w:type="dxa"/>
            <w:tcMar>
              <w:top w:w="0" w:type="dxa"/>
              <w:bottom w:w="0" w:type="dxa"/>
            </w:tcMar>
            <w:vAlign w:val="center"/>
          </w:tcPr>
          <w:p w14:paraId="52E45928" w14:textId="77777777" w:rsidR="003F5A0A"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1D3D47E6" w14:textId="77777777" w:rsidR="003F5A0A" w:rsidRDefault="00000000">
            <w:pPr>
              <w:keepNext/>
              <w:keepLines/>
              <w:spacing w:after="0" w:line="240" w:lineRule="auto"/>
            </w:pPr>
            <w:r>
              <w:rPr>
                <w:sz w:val="18"/>
              </w:rPr>
              <w:t>37</w:t>
            </w:r>
          </w:p>
        </w:tc>
        <w:tc>
          <w:tcPr>
            <w:tcW w:w="1860" w:type="dxa"/>
            <w:tcMar>
              <w:top w:w="0" w:type="dxa"/>
              <w:bottom w:w="0" w:type="dxa"/>
            </w:tcMar>
            <w:vAlign w:val="center"/>
          </w:tcPr>
          <w:p w14:paraId="52FBF967" w14:textId="77777777" w:rsidR="003F5A0A" w:rsidRDefault="00000000">
            <w:pPr>
              <w:keepNext/>
              <w:keepLines/>
              <w:spacing w:after="0" w:line="240" w:lineRule="auto"/>
              <w:jc w:val="right"/>
            </w:pPr>
            <w:r>
              <w:rPr>
                <w:sz w:val="18"/>
              </w:rPr>
              <w:t>91.816,00</w:t>
            </w:r>
          </w:p>
        </w:tc>
        <w:tc>
          <w:tcPr>
            <w:tcW w:w="1860" w:type="dxa"/>
            <w:tcMar>
              <w:top w:w="0" w:type="dxa"/>
              <w:bottom w:w="0" w:type="dxa"/>
            </w:tcMar>
            <w:vAlign w:val="center"/>
          </w:tcPr>
          <w:p w14:paraId="279BBCC3" w14:textId="77777777" w:rsidR="003F5A0A" w:rsidRDefault="00000000">
            <w:pPr>
              <w:keepNext/>
              <w:keepLines/>
              <w:spacing w:after="0" w:line="240" w:lineRule="auto"/>
              <w:jc w:val="right"/>
            </w:pPr>
            <w:r>
              <w:rPr>
                <w:sz w:val="18"/>
              </w:rPr>
              <w:t>139.059,35</w:t>
            </w:r>
          </w:p>
        </w:tc>
        <w:tc>
          <w:tcPr>
            <w:tcW w:w="700" w:type="dxa"/>
            <w:tcMar>
              <w:top w:w="0" w:type="dxa"/>
              <w:bottom w:w="0" w:type="dxa"/>
            </w:tcMar>
            <w:vAlign w:val="center"/>
          </w:tcPr>
          <w:p w14:paraId="1CA53E3D" w14:textId="77777777" w:rsidR="003F5A0A" w:rsidRDefault="00000000">
            <w:pPr>
              <w:keepNext/>
              <w:keepLines/>
              <w:spacing w:after="0" w:line="240" w:lineRule="auto"/>
              <w:jc w:val="right"/>
            </w:pPr>
            <w:r>
              <w:rPr>
                <w:sz w:val="18"/>
              </w:rPr>
              <w:t>151,5</w:t>
            </w:r>
          </w:p>
        </w:tc>
      </w:tr>
    </w:tbl>
    <w:p w14:paraId="6F4B3ED5" w14:textId="77777777" w:rsidR="003F5A0A" w:rsidRDefault="003F5A0A">
      <w:pPr>
        <w:spacing w:after="0"/>
      </w:pPr>
    </w:p>
    <w:p w14:paraId="34B65D34" w14:textId="77777777" w:rsidR="003F5A0A" w:rsidRDefault="00000000">
      <w:pPr>
        <w:spacing w:line="240" w:lineRule="auto"/>
        <w:jc w:val="both"/>
      </w:pPr>
      <w:r>
        <w:t>Povećanje naknada građanima i kućanstvima na temelju osiguranja za 47.243,35 EUR u odnosu na izvještajno razdoblje prethodne godine vezano je uz isplate socijalnih pomoći te pomoći obiteljima i kućanstvima slabijeg imovinskog statusa koje su u tekućoj godini povećane temeljem gradskih odluka.</w:t>
      </w:r>
    </w:p>
    <w:p w14:paraId="5322560D" w14:textId="77777777" w:rsidR="003F5A0A" w:rsidRDefault="003F5A0A"/>
    <w:p w14:paraId="674C1978" w14:textId="77777777" w:rsidR="003F5A0A"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7EEB37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7A0E3F"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E81782D"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EC48C3"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B048C4"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E45E91"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0CD8EF" w14:textId="77777777" w:rsidR="003F5A0A" w:rsidRDefault="00000000">
            <w:pPr>
              <w:keepNext/>
              <w:keepLines/>
              <w:spacing w:after="0" w:line="240" w:lineRule="auto"/>
              <w:jc w:val="center"/>
            </w:pPr>
            <w:r>
              <w:rPr>
                <w:b/>
                <w:sz w:val="18"/>
              </w:rPr>
              <w:t>Indeks (%)</w:t>
            </w:r>
          </w:p>
        </w:tc>
      </w:tr>
      <w:tr w:rsidR="003F5A0A" w14:paraId="360A2657" w14:textId="77777777">
        <w:tblPrEx>
          <w:tblCellMar>
            <w:top w:w="0" w:type="dxa"/>
            <w:bottom w:w="0" w:type="dxa"/>
          </w:tblCellMar>
        </w:tblPrEx>
        <w:trPr>
          <w:cantSplit/>
          <w:trHeight w:val="560"/>
        </w:trPr>
        <w:tc>
          <w:tcPr>
            <w:tcW w:w="700" w:type="dxa"/>
            <w:tcMar>
              <w:top w:w="0" w:type="dxa"/>
              <w:bottom w:w="0" w:type="dxa"/>
            </w:tcMar>
            <w:vAlign w:val="center"/>
          </w:tcPr>
          <w:p w14:paraId="20AE6220" w14:textId="77777777" w:rsidR="003F5A0A" w:rsidRDefault="00000000">
            <w:pPr>
              <w:keepNext/>
              <w:keepLines/>
              <w:spacing w:after="0" w:line="240" w:lineRule="auto"/>
            </w:pPr>
            <w:r>
              <w:rPr>
                <w:sz w:val="18"/>
              </w:rPr>
              <w:t>38</w:t>
            </w:r>
          </w:p>
        </w:tc>
        <w:tc>
          <w:tcPr>
            <w:tcW w:w="3180" w:type="dxa"/>
            <w:tcMar>
              <w:top w:w="0" w:type="dxa"/>
              <w:bottom w:w="0" w:type="dxa"/>
            </w:tcMar>
            <w:vAlign w:val="center"/>
          </w:tcPr>
          <w:p w14:paraId="5CF73293" w14:textId="77777777" w:rsidR="003F5A0A"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25C2026" w14:textId="77777777" w:rsidR="003F5A0A" w:rsidRDefault="00000000">
            <w:pPr>
              <w:keepNext/>
              <w:keepLines/>
              <w:spacing w:after="0" w:line="240" w:lineRule="auto"/>
            </w:pPr>
            <w:r>
              <w:rPr>
                <w:sz w:val="18"/>
              </w:rPr>
              <w:t>38</w:t>
            </w:r>
          </w:p>
        </w:tc>
        <w:tc>
          <w:tcPr>
            <w:tcW w:w="1860" w:type="dxa"/>
            <w:tcMar>
              <w:top w:w="0" w:type="dxa"/>
              <w:bottom w:w="0" w:type="dxa"/>
            </w:tcMar>
            <w:vAlign w:val="center"/>
          </w:tcPr>
          <w:p w14:paraId="734A171C" w14:textId="77777777" w:rsidR="003F5A0A" w:rsidRDefault="00000000">
            <w:pPr>
              <w:keepNext/>
              <w:keepLines/>
              <w:spacing w:after="0" w:line="240" w:lineRule="auto"/>
              <w:jc w:val="right"/>
            </w:pPr>
            <w:r>
              <w:rPr>
                <w:sz w:val="18"/>
              </w:rPr>
              <w:t>96.041,25</w:t>
            </w:r>
          </w:p>
        </w:tc>
        <w:tc>
          <w:tcPr>
            <w:tcW w:w="1860" w:type="dxa"/>
            <w:tcMar>
              <w:top w:w="0" w:type="dxa"/>
              <w:bottom w:w="0" w:type="dxa"/>
            </w:tcMar>
            <w:vAlign w:val="center"/>
          </w:tcPr>
          <w:p w14:paraId="7C658E0C" w14:textId="77777777" w:rsidR="003F5A0A" w:rsidRDefault="00000000">
            <w:pPr>
              <w:keepNext/>
              <w:keepLines/>
              <w:spacing w:after="0" w:line="240" w:lineRule="auto"/>
              <w:jc w:val="right"/>
            </w:pPr>
            <w:r>
              <w:rPr>
                <w:sz w:val="18"/>
              </w:rPr>
              <w:t>122.191,05</w:t>
            </w:r>
          </w:p>
        </w:tc>
        <w:tc>
          <w:tcPr>
            <w:tcW w:w="700" w:type="dxa"/>
            <w:tcMar>
              <w:top w:w="0" w:type="dxa"/>
              <w:bottom w:w="0" w:type="dxa"/>
            </w:tcMar>
            <w:vAlign w:val="center"/>
          </w:tcPr>
          <w:p w14:paraId="5F074C62" w14:textId="77777777" w:rsidR="003F5A0A" w:rsidRDefault="00000000">
            <w:pPr>
              <w:keepNext/>
              <w:keepLines/>
              <w:spacing w:after="0" w:line="240" w:lineRule="auto"/>
              <w:jc w:val="right"/>
            </w:pPr>
            <w:r>
              <w:rPr>
                <w:sz w:val="18"/>
              </w:rPr>
              <w:t>127,2</w:t>
            </w:r>
          </w:p>
        </w:tc>
      </w:tr>
    </w:tbl>
    <w:p w14:paraId="3E6DB02C" w14:textId="77777777" w:rsidR="003F5A0A" w:rsidRDefault="003F5A0A">
      <w:pPr>
        <w:spacing w:after="0"/>
      </w:pPr>
    </w:p>
    <w:p w14:paraId="110C564A" w14:textId="77777777" w:rsidR="003F5A0A" w:rsidRDefault="00000000">
      <w:pPr>
        <w:spacing w:line="240" w:lineRule="auto"/>
        <w:jc w:val="both"/>
      </w:pPr>
      <w:r>
        <w:t>Porast rashoda za donacije, kazne, naknade šteta i kapitalne pomoći za 26.149,80 EUR u odnosu na izvještajno razdoblje prethodne godine rezultat je rasta izdataka tekućih donacija u novcu udrugama na području Grada Zlatara.</w:t>
      </w:r>
    </w:p>
    <w:p w14:paraId="2157013E" w14:textId="77777777" w:rsidR="003F5A0A" w:rsidRDefault="003F5A0A"/>
    <w:p w14:paraId="21D76F62" w14:textId="77777777" w:rsidR="003F5A0A"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56575F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D8BD7E"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EA8222"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F39C1"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A76E10"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364A8F"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D71543" w14:textId="77777777" w:rsidR="003F5A0A" w:rsidRDefault="00000000">
            <w:pPr>
              <w:keepNext/>
              <w:keepLines/>
              <w:spacing w:after="0" w:line="240" w:lineRule="auto"/>
              <w:jc w:val="center"/>
            </w:pPr>
            <w:r>
              <w:rPr>
                <w:b/>
                <w:sz w:val="18"/>
              </w:rPr>
              <w:t>Indeks (%)</w:t>
            </w:r>
          </w:p>
        </w:tc>
      </w:tr>
      <w:tr w:rsidR="003F5A0A" w14:paraId="36295BEA" w14:textId="77777777">
        <w:tblPrEx>
          <w:tblCellMar>
            <w:top w:w="0" w:type="dxa"/>
            <w:bottom w:w="0" w:type="dxa"/>
          </w:tblCellMar>
        </w:tblPrEx>
        <w:trPr>
          <w:cantSplit/>
          <w:trHeight w:val="560"/>
        </w:trPr>
        <w:tc>
          <w:tcPr>
            <w:tcW w:w="700" w:type="dxa"/>
            <w:tcMar>
              <w:top w:w="0" w:type="dxa"/>
              <w:bottom w:w="0" w:type="dxa"/>
            </w:tcMar>
            <w:vAlign w:val="center"/>
          </w:tcPr>
          <w:p w14:paraId="70F7286F" w14:textId="77777777" w:rsidR="003F5A0A" w:rsidRDefault="00000000">
            <w:pPr>
              <w:keepNext/>
              <w:keepLines/>
              <w:spacing w:after="0" w:line="240" w:lineRule="auto"/>
            </w:pPr>
            <w:r>
              <w:rPr>
                <w:sz w:val="18"/>
              </w:rPr>
              <w:t>42</w:t>
            </w:r>
          </w:p>
        </w:tc>
        <w:tc>
          <w:tcPr>
            <w:tcW w:w="3180" w:type="dxa"/>
            <w:tcMar>
              <w:top w:w="0" w:type="dxa"/>
              <w:bottom w:w="0" w:type="dxa"/>
            </w:tcMar>
            <w:vAlign w:val="center"/>
          </w:tcPr>
          <w:p w14:paraId="54D71073" w14:textId="77777777" w:rsidR="003F5A0A"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599EFBCB" w14:textId="77777777" w:rsidR="003F5A0A" w:rsidRDefault="00000000">
            <w:pPr>
              <w:keepNext/>
              <w:keepLines/>
              <w:spacing w:after="0" w:line="240" w:lineRule="auto"/>
            </w:pPr>
            <w:r>
              <w:rPr>
                <w:sz w:val="18"/>
              </w:rPr>
              <w:t>42</w:t>
            </w:r>
          </w:p>
        </w:tc>
        <w:tc>
          <w:tcPr>
            <w:tcW w:w="1860" w:type="dxa"/>
            <w:tcMar>
              <w:top w:w="0" w:type="dxa"/>
              <w:bottom w:w="0" w:type="dxa"/>
            </w:tcMar>
            <w:vAlign w:val="center"/>
          </w:tcPr>
          <w:p w14:paraId="432E89CA" w14:textId="77777777" w:rsidR="003F5A0A" w:rsidRDefault="00000000">
            <w:pPr>
              <w:keepNext/>
              <w:keepLines/>
              <w:spacing w:after="0" w:line="240" w:lineRule="auto"/>
              <w:jc w:val="right"/>
            </w:pPr>
            <w:r>
              <w:rPr>
                <w:sz w:val="18"/>
              </w:rPr>
              <w:t>1.279.024,66</w:t>
            </w:r>
          </w:p>
        </w:tc>
        <w:tc>
          <w:tcPr>
            <w:tcW w:w="1860" w:type="dxa"/>
            <w:tcMar>
              <w:top w:w="0" w:type="dxa"/>
              <w:bottom w:w="0" w:type="dxa"/>
            </w:tcMar>
            <w:vAlign w:val="center"/>
          </w:tcPr>
          <w:p w14:paraId="6B68EB90" w14:textId="77777777" w:rsidR="003F5A0A" w:rsidRDefault="00000000">
            <w:pPr>
              <w:keepNext/>
              <w:keepLines/>
              <w:spacing w:after="0" w:line="240" w:lineRule="auto"/>
              <w:jc w:val="right"/>
            </w:pPr>
            <w:r>
              <w:rPr>
                <w:sz w:val="18"/>
              </w:rPr>
              <w:t>730.810,02</w:t>
            </w:r>
          </w:p>
        </w:tc>
        <w:tc>
          <w:tcPr>
            <w:tcW w:w="700" w:type="dxa"/>
            <w:tcMar>
              <w:top w:w="0" w:type="dxa"/>
              <w:bottom w:w="0" w:type="dxa"/>
            </w:tcMar>
            <w:vAlign w:val="center"/>
          </w:tcPr>
          <w:p w14:paraId="3321E3B5" w14:textId="77777777" w:rsidR="003F5A0A" w:rsidRDefault="00000000">
            <w:pPr>
              <w:keepNext/>
              <w:keepLines/>
              <w:spacing w:after="0" w:line="240" w:lineRule="auto"/>
              <w:jc w:val="right"/>
            </w:pPr>
            <w:r>
              <w:rPr>
                <w:sz w:val="18"/>
              </w:rPr>
              <w:t>57,1</w:t>
            </w:r>
          </w:p>
        </w:tc>
      </w:tr>
    </w:tbl>
    <w:p w14:paraId="6BB7EC95" w14:textId="77777777" w:rsidR="003F5A0A" w:rsidRDefault="003F5A0A">
      <w:pPr>
        <w:spacing w:after="0"/>
      </w:pPr>
    </w:p>
    <w:p w14:paraId="09FC0266" w14:textId="77777777" w:rsidR="003F5A0A" w:rsidRDefault="00000000">
      <w:pPr>
        <w:spacing w:line="240" w:lineRule="auto"/>
        <w:jc w:val="both"/>
      </w:pPr>
      <w:r>
        <w:t xml:space="preserve">Smanjenje rashoda za nabavu proizvedene dugotrajne imovine nastalo je zbog manje realizacije kapitalnih ulaganja u građevinske objekte i opremu u odnosu na izvještajno </w:t>
      </w:r>
      <w:r>
        <w:lastRenderedPageBreak/>
        <w:t>razdoblje prethodne godine, kada su završeni veći projekti (infrastrukturni zahvati). U ovoj godini realizirana su uglavnom redovna manja ulaganja te manji kapitalni projekti planirani u proračunu, dok su veći kapitalni projekti (dogradnja postojećeg vrtića i izgradnja novog) u fazi provedbe.</w:t>
      </w:r>
    </w:p>
    <w:p w14:paraId="23F4B6AF" w14:textId="77777777" w:rsidR="003F5A0A" w:rsidRDefault="003F5A0A"/>
    <w:p w14:paraId="7E1110D1" w14:textId="77777777" w:rsidR="003F5A0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720015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BF196F"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3FACBD"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D29A69"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7AA07B"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6B95EE"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63A00D" w14:textId="77777777" w:rsidR="003F5A0A" w:rsidRDefault="00000000">
            <w:pPr>
              <w:keepNext/>
              <w:keepLines/>
              <w:spacing w:after="0" w:line="240" w:lineRule="auto"/>
              <w:jc w:val="center"/>
            </w:pPr>
            <w:r>
              <w:rPr>
                <w:b/>
                <w:sz w:val="18"/>
              </w:rPr>
              <w:t>Indeks (%)</w:t>
            </w:r>
          </w:p>
        </w:tc>
      </w:tr>
      <w:tr w:rsidR="003F5A0A" w14:paraId="46F31EFC" w14:textId="77777777">
        <w:tblPrEx>
          <w:tblCellMar>
            <w:top w:w="0" w:type="dxa"/>
            <w:bottom w:w="0" w:type="dxa"/>
          </w:tblCellMar>
        </w:tblPrEx>
        <w:trPr>
          <w:cantSplit/>
          <w:trHeight w:val="560"/>
        </w:trPr>
        <w:tc>
          <w:tcPr>
            <w:tcW w:w="700" w:type="dxa"/>
            <w:tcMar>
              <w:top w:w="0" w:type="dxa"/>
              <w:bottom w:w="0" w:type="dxa"/>
            </w:tcMar>
            <w:vAlign w:val="center"/>
          </w:tcPr>
          <w:p w14:paraId="084D3AFD" w14:textId="77777777" w:rsidR="003F5A0A" w:rsidRDefault="00000000">
            <w:pPr>
              <w:keepNext/>
              <w:keepLines/>
              <w:spacing w:after="0" w:line="240" w:lineRule="auto"/>
            </w:pPr>
            <w:r>
              <w:rPr>
                <w:sz w:val="18"/>
              </w:rPr>
              <w:t>4231</w:t>
            </w:r>
          </w:p>
        </w:tc>
        <w:tc>
          <w:tcPr>
            <w:tcW w:w="3180" w:type="dxa"/>
            <w:tcMar>
              <w:top w:w="0" w:type="dxa"/>
              <w:bottom w:w="0" w:type="dxa"/>
            </w:tcMar>
            <w:vAlign w:val="center"/>
          </w:tcPr>
          <w:p w14:paraId="15DCAFFD" w14:textId="77777777" w:rsidR="003F5A0A" w:rsidRDefault="00000000">
            <w:pPr>
              <w:keepNext/>
              <w:keepLines/>
              <w:spacing w:after="0" w:line="240" w:lineRule="auto"/>
            </w:pPr>
            <w:r>
              <w:rPr>
                <w:sz w:val="18"/>
              </w:rPr>
              <w:t>Prijevozna sredstva u cestovnom prometu</w:t>
            </w:r>
          </w:p>
        </w:tc>
        <w:tc>
          <w:tcPr>
            <w:tcW w:w="700" w:type="dxa"/>
            <w:tcMar>
              <w:top w:w="0" w:type="dxa"/>
              <w:bottom w:w="0" w:type="dxa"/>
            </w:tcMar>
            <w:vAlign w:val="center"/>
          </w:tcPr>
          <w:p w14:paraId="4E58399A" w14:textId="77777777" w:rsidR="003F5A0A" w:rsidRDefault="00000000">
            <w:pPr>
              <w:keepNext/>
              <w:keepLines/>
              <w:spacing w:after="0" w:line="240" w:lineRule="auto"/>
            </w:pPr>
            <w:r>
              <w:rPr>
                <w:sz w:val="18"/>
              </w:rPr>
              <w:t>4231</w:t>
            </w:r>
          </w:p>
        </w:tc>
        <w:tc>
          <w:tcPr>
            <w:tcW w:w="1860" w:type="dxa"/>
            <w:tcMar>
              <w:top w:w="0" w:type="dxa"/>
              <w:bottom w:w="0" w:type="dxa"/>
            </w:tcMar>
            <w:vAlign w:val="center"/>
          </w:tcPr>
          <w:p w14:paraId="29A6A7BB" w14:textId="77777777" w:rsidR="003F5A0A" w:rsidRDefault="00000000">
            <w:pPr>
              <w:keepNext/>
              <w:keepLines/>
              <w:spacing w:after="0" w:line="240" w:lineRule="auto"/>
              <w:jc w:val="right"/>
            </w:pPr>
            <w:r>
              <w:rPr>
                <w:sz w:val="18"/>
              </w:rPr>
              <w:t>0,00</w:t>
            </w:r>
          </w:p>
        </w:tc>
        <w:tc>
          <w:tcPr>
            <w:tcW w:w="1860" w:type="dxa"/>
            <w:tcMar>
              <w:top w:w="0" w:type="dxa"/>
              <w:bottom w:w="0" w:type="dxa"/>
            </w:tcMar>
            <w:vAlign w:val="center"/>
          </w:tcPr>
          <w:p w14:paraId="797D8227" w14:textId="77777777" w:rsidR="003F5A0A" w:rsidRDefault="00000000">
            <w:pPr>
              <w:keepNext/>
              <w:keepLines/>
              <w:spacing w:after="0" w:line="240" w:lineRule="auto"/>
              <w:jc w:val="right"/>
            </w:pPr>
            <w:r>
              <w:rPr>
                <w:sz w:val="18"/>
              </w:rPr>
              <w:t>28.600,66</w:t>
            </w:r>
          </w:p>
        </w:tc>
        <w:tc>
          <w:tcPr>
            <w:tcW w:w="700" w:type="dxa"/>
            <w:tcMar>
              <w:top w:w="0" w:type="dxa"/>
              <w:bottom w:w="0" w:type="dxa"/>
            </w:tcMar>
            <w:vAlign w:val="center"/>
          </w:tcPr>
          <w:p w14:paraId="5EF70E79" w14:textId="77777777" w:rsidR="003F5A0A" w:rsidRDefault="00000000">
            <w:pPr>
              <w:keepNext/>
              <w:keepLines/>
              <w:spacing w:after="0" w:line="240" w:lineRule="auto"/>
              <w:jc w:val="right"/>
            </w:pPr>
            <w:r>
              <w:rPr>
                <w:sz w:val="18"/>
              </w:rPr>
              <w:t>-</w:t>
            </w:r>
          </w:p>
        </w:tc>
      </w:tr>
    </w:tbl>
    <w:p w14:paraId="77F87A04" w14:textId="77777777" w:rsidR="003F5A0A" w:rsidRDefault="003F5A0A">
      <w:pPr>
        <w:spacing w:after="0"/>
      </w:pPr>
    </w:p>
    <w:p w14:paraId="126DEECE" w14:textId="77777777" w:rsidR="003F5A0A" w:rsidRDefault="00000000">
      <w:pPr>
        <w:spacing w:line="240" w:lineRule="auto"/>
        <w:jc w:val="both"/>
      </w:pPr>
      <w:r>
        <w:t>Porast rashoda za prijevozna sredstva u cestovnom prometu rezultat je nabavke novog gradskog službenog vozila početkom tekuće godine.</w:t>
      </w:r>
    </w:p>
    <w:p w14:paraId="1E6F1859" w14:textId="77777777" w:rsidR="003F5A0A" w:rsidRDefault="003F5A0A"/>
    <w:p w14:paraId="2705DB0F" w14:textId="77777777" w:rsidR="003F5A0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3F5A0A" w14:paraId="325A97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B1A84A"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91F08F"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650F9"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D550C" w14:textId="77777777" w:rsidR="003F5A0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54791C" w14:textId="77777777" w:rsidR="003F5A0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71983" w14:textId="77777777" w:rsidR="003F5A0A" w:rsidRDefault="00000000">
            <w:pPr>
              <w:keepNext/>
              <w:keepLines/>
              <w:spacing w:after="0" w:line="240" w:lineRule="auto"/>
              <w:jc w:val="center"/>
            </w:pPr>
            <w:r>
              <w:rPr>
                <w:b/>
                <w:sz w:val="18"/>
              </w:rPr>
              <w:t>Indeks (%)</w:t>
            </w:r>
          </w:p>
        </w:tc>
      </w:tr>
      <w:tr w:rsidR="003F5A0A" w14:paraId="40F7E118" w14:textId="77777777">
        <w:tblPrEx>
          <w:tblCellMar>
            <w:top w:w="0" w:type="dxa"/>
            <w:bottom w:w="0" w:type="dxa"/>
          </w:tblCellMar>
        </w:tblPrEx>
        <w:trPr>
          <w:cantSplit/>
          <w:trHeight w:val="560"/>
        </w:trPr>
        <w:tc>
          <w:tcPr>
            <w:tcW w:w="700" w:type="dxa"/>
            <w:tcMar>
              <w:top w:w="0" w:type="dxa"/>
              <w:bottom w:w="0" w:type="dxa"/>
            </w:tcMar>
            <w:vAlign w:val="center"/>
          </w:tcPr>
          <w:p w14:paraId="5871D17A" w14:textId="77777777" w:rsidR="003F5A0A" w:rsidRDefault="00000000">
            <w:pPr>
              <w:keepNext/>
              <w:keepLines/>
              <w:spacing w:after="0" w:line="240" w:lineRule="auto"/>
            </w:pPr>
            <w:r>
              <w:rPr>
                <w:sz w:val="18"/>
              </w:rPr>
              <w:t>45</w:t>
            </w:r>
          </w:p>
        </w:tc>
        <w:tc>
          <w:tcPr>
            <w:tcW w:w="3180" w:type="dxa"/>
            <w:tcMar>
              <w:top w:w="0" w:type="dxa"/>
              <w:bottom w:w="0" w:type="dxa"/>
            </w:tcMar>
            <w:vAlign w:val="center"/>
          </w:tcPr>
          <w:p w14:paraId="217E0AF7" w14:textId="77777777" w:rsidR="003F5A0A"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7B7770CE" w14:textId="77777777" w:rsidR="003F5A0A" w:rsidRDefault="00000000">
            <w:pPr>
              <w:keepNext/>
              <w:keepLines/>
              <w:spacing w:after="0" w:line="240" w:lineRule="auto"/>
            </w:pPr>
            <w:r>
              <w:rPr>
                <w:sz w:val="18"/>
              </w:rPr>
              <w:t>45</w:t>
            </w:r>
          </w:p>
        </w:tc>
        <w:tc>
          <w:tcPr>
            <w:tcW w:w="1860" w:type="dxa"/>
            <w:tcMar>
              <w:top w:w="0" w:type="dxa"/>
              <w:bottom w:w="0" w:type="dxa"/>
            </w:tcMar>
            <w:vAlign w:val="center"/>
          </w:tcPr>
          <w:p w14:paraId="302F8F30" w14:textId="77777777" w:rsidR="003F5A0A" w:rsidRDefault="00000000">
            <w:pPr>
              <w:keepNext/>
              <w:keepLines/>
              <w:spacing w:after="0" w:line="240" w:lineRule="auto"/>
              <w:jc w:val="right"/>
            </w:pPr>
            <w:r>
              <w:rPr>
                <w:sz w:val="18"/>
              </w:rPr>
              <w:t>217.889,02</w:t>
            </w:r>
          </w:p>
        </w:tc>
        <w:tc>
          <w:tcPr>
            <w:tcW w:w="1860" w:type="dxa"/>
            <w:tcMar>
              <w:top w:w="0" w:type="dxa"/>
              <w:bottom w:w="0" w:type="dxa"/>
            </w:tcMar>
            <w:vAlign w:val="center"/>
          </w:tcPr>
          <w:p w14:paraId="2B95041F" w14:textId="77777777" w:rsidR="003F5A0A" w:rsidRDefault="00000000">
            <w:pPr>
              <w:keepNext/>
              <w:keepLines/>
              <w:spacing w:after="0" w:line="240" w:lineRule="auto"/>
              <w:jc w:val="right"/>
            </w:pPr>
            <w:r>
              <w:rPr>
                <w:sz w:val="18"/>
              </w:rPr>
              <w:t>571.365,12</w:t>
            </w:r>
          </w:p>
        </w:tc>
        <w:tc>
          <w:tcPr>
            <w:tcW w:w="700" w:type="dxa"/>
            <w:tcMar>
              <w:top w:w="0" w:type="dxa"/>
              <w:bottom w:w="0" w:type="dxa"/>
            </w:tcMar>
            <w:vAlign w:val="center"/>
          </w:tcPr>
          <w:p w14:paraId="0ECBF161" w14:textId="77777777" w:rsidR="003F5A0A" w:rsidRDefault="00000000">
            <w:pPr>
              <w:keepNext/>
              <w:keepLines/>
              <w:spacing w:after="0" w:line="240" w:lineRule="auto"/>
              <w:jc w:val="right"/>
            </w:pPr>
            <w:r>
              <w:rPr>
                <w:sz w:val="18"/>
              </w:rPr>
              <w:t>262,2</w:t>
            </w:r>
          </w:p>
        </w:tc>
      </w:tr>
    </w:tbl>
    <w:p w14:paraId="00831ACF" w14:textId="77777777" w:rsidR="003F5A0A" w:rsidRDefault="003F5A0A">
      <w:pPr>
        <w:spacing w:after="0"/>
      </w:pPr>
    </w:p>
    <w:p w14:paraId="40A81672" w14:textId="77777777" w:rsidR="003F5A0A" w:rsidRDefault="00000000">
      <w:pPr>
        <w:spacing w:line="240" w:lineRule="auto"/>
        <w:jc w:val="both"/>
      </w:pPr>
      <w:r>
        <w:t>Povećanje rashoda za dodatna ulaganja na nefinancijskoj imovini za 353.476,10 EUR rezultat je provedbe ulaganja u modernizaciju i dogradnju gradske infrastrukture, posebice u dijelu uređenja prometnica, javne rasvjete i komunalne opreme.</w:t>
      </w:r>
    </w:p>
    <w:p w14:paraId="0B71E371" w14:textId="77777777" w:rsidR="003F5A0A" w:rsidRDefault="003F5A0A"/>
    <w:p w14:paraId="2B2F24B1" w14:textId="77777777" w:rsidR="003F5A0A" w:rsidRDefault="00000000">
      <w:pPr>
        <w:keepNext/>
        <w:spacing w:line="240" w:lineRule="auto"/>
        <w:jc w:val="center"/>
      </w:pPr>
      <w:r>
        <w:rPr>
          <w:b/>
          <w:sz w:val="28"/>
        </w:rPr>
        <w:t>Izvještaj o obvezama</w:t>
      </w:r>
    </w:p>
    <w:p w14:paraId="4A9F6E72" w14:textId="77777777" w:rsidR="003F5A0A"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3F5A0A" w14:paraId="004D94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5CE494" w14:textId="77777777" w:rsidR="003F5A0A"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B9E173" w14:textId="77777777" w:rsidR="003F5A0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0AD0E4" w14:textId="77777777" w:rsidR="003F5A0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FCAC0C" w14:textId="77777777" w:rsidR="003F5A0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2610D72" w14:textId="77777777" w:rsidR="003F5A0A" w:rsidRDefault="00000000">
            <w:pPr>
              <w:keepNext/>
              <w:keepLines/>
              <w:spacing w:after="0" w:line="240" w:lineRule="auto"/>
              <w:jc w:val="center"/>
            </w:pPr>
            <w:r>
              <w:rPr>
                <w:b/>
                <w:sz w:val="18"/>
              </w:rPr>
              <w:t>Indeks (%)</w:t>
            </w:r>
          </w:p>
        </w:tc>
      </w:tr>
      <w:tr w:rsidR="003F5A0A" w14:paraId="2B3BC3D3" w14:textId="77777777">
        <w:tblPrEx>
          <w:tblCellMar>
            <w:top w:w="0" w:type="dxa"/>
            <w:bottom w:w="0" w:type="dxa"/>
          </w:tblCellMar>
        </w:tblPrEx>
        <w:trPr>
          <w:cantSplit/>
          <w:trHeight w:val="560"/>
        </w:trPr>
        <w:tc>
          <w:tcPr>
            <w:tcW w:w="700" w:type="dxa"/>
            <w:tcMar>
              <w:top w:w="0" w:type="dxa"/>
              <w:bottom w:w="0" w:type="dxa"/>
            </w:tcMar>
            <w:vAlign w:val="center"/>
          </w:tcPr>
          <w:p w14:paraId="3B347A34" w14:textId="77777777" w:rsidR="003F5A0A" w:rsidRDefault="003F5A0A">
            <w:pPr>
              <w:keepNext/>
              <w:keepLines/>
              <w:spacing w:after="0" w:line="240" w:lineRule="auto"/>
            </w:pPr>
          </w:p>
        </w:tc>
        <w:tc>
          <w:tcPr>
            <w:tcW w:w="3180" w:type="dxa"/>
            <w:tcMar>
              <w:top w:w="0" w:type="dxa"/>
              <w:bottom w:w="0" w:type="dxa"/>
            </w:tcMar>
            <w:vAlign w:val="center"/>
          </w:tcPr>
          <w:p w14:paraId="6740F66E" w14:textId="77777777" w:rsidR="003F5A0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423AC482" w14:textId="77777777" w:rsidR="003F5A0A" w:rsidRDefault="00000000">
            <w:pPr>
              <w:keepNext/>
              <w:keepLines/>
              <w:spacing w:after="0" w:line="240" w:lineRule="auto"/>
            </w:pPr>
            <w:r>
              <w:rPr>
                <w:sz w:val="18"/>
              </w:rPr>
              <w:t>V007</w:t>
            </w:r>
          </w:p>
        </w:tc>
        <w:tc>
          <w:tcPr>
            <w:tcW w:w="1860" w:type="dxa"/>
            <w:tcMar>
              <w:top w:w="0" w:type="dxa"/>
              <w:bottom w:w="0" w:type="dxa"/>
            </w:tcMar>
            <w:vAlign w:val="center"/>
          </w:tcPr>
          <w:p w14:paraId="6391944E" w14:textId="77777777" w:rsidR="003F5A0A" w:rsidRDefault="00000000">
            <w:pPr>
              <w:keepNext/>
              <w:keepLines/>
              <w:spacing w:after="0" w:line="240" w:lineRule="auto"/>
              <w:jc w:val="right"/>
            </w:pPr>
            <w:r>
              <w:rPr>
                <w:sz w:val="18"/>
              </w:rPr>
              <w:t>261.064,01</w:t>
            </w:r>
          </w:p>
        </w:tc>
        <w:tc>
          <w:tcPr>
            <w:tcW w:w="700" w:type="dxa"/>
            <w:tcMar>
              <w:top w:w="0" w:type="dxa"/>
              <w:bottom w:w="0" w:type="dxa"/>
            </w:tcMar>
            <w:vAlign w:val="center"/>
          </w:tcPr>
          <w:p w14:paraId="62F34F72" w14:textId="77777777" w:rsidR="003F5A0A" w:rsidRDefault="00000000">
            <w:pPr>
              <w:keepNext/>
              <w:keepLines/>
              <w:spacing w:after="0" w:line="240" w:lineRule="auto"/>
              <w:jc w:val="right"/>
            </w:pPr>
            <w:r>
              <w:rPr>
                <w:sz w:val="18"/>
              </w:rPr>
              <w:t>-</w:t>
            </w:r>
          </w:p>
        </w:tc>
      </w:tr>
    </w:tbl>
    <w:p w14:paraId="2ED42F59" w14:textId="77777777" w:rsidR="003F5A0A" w:rsidRDefault="003F5A0A">
      <w:pPr>
        <w:spacing w:after="0"/>
      </w:pPr>
    </w:p>
    <w:p w14:paraId="1D293DEE" w14:textId="77777777" w:rsidR="003F5A0A" w:rsidRDefault="00000000">
      <w:pPr>
        <w:spacing w:line="240" w:lineRule="auto"/>
        <w:jc w:val="both"/>
      </w:pPr>
      <w:r>
        <w:t>Na dan 30. lipnja 2025. stanje dospjelih obveza iznosi 261.064,01 EUR. Većina dospjelih obveza odnosi se na obveze prema dobavljačima za izvršene usluge i isporučene robe u okviru redovnog poslovanja te provedbe kapitalnih projekata. Ove dospjele obveze predstavljaju kratkoročne obveze unutar uobičajenih rokova plaćanja, stoga su u poslovnim knjigama naknadno evidentirani računi, a isti podmireni u srpnju.</w:t>
      </w:r>
    </w:p>
    <w:p w14:paraId="523989B5" w14:textId="77777777" w:rsidR="003F5A0A" w:rsidRDefault="003F5A0A"/>
    <w:p w14:paraId="0464D214" w14:textId="77777777" w:rsidR="003F5A0A" w:rsidRDefault="00000000">
      <w:pPr>
        <w:keepNext/>
        <w:spacing w:line="240" w:lineRule="auto"/>
        <w:jc w:val="center"/>
      </w:pPr>
      <w:r>
        <w:rPr>
          <w:sz w:val="28"/>
        </w:rPr>
        <w:t>Bilješka 12.</w:t>
      </w:r>
    </w:p>
    <w:p w14:paraId="2ADBFD44" w14:textId="77777777" w:rsidR="003F5A0A" w:rsidRDefault="00000000">
      <w:pPr>
        <w:spacing w:line="240" w:lineRule="auto"/>
        <w:jc w:val="both"/>
      </w:pPr>
      <w:r>
        <w:rPr>
          <w:b/>
        </w:rPr>
        <w:t>Unutargrupne transakcije koje su u izvještajima eliminirane</w:t>
      </w:r>
    </w:p>
    <w:p w14:paraId="548FF5CA" w14:textId="77777777" w:rsidR="003F5A0A" w:rsidRDefault="00000000">
      <w:pPr>
        <w:spacing w:line="240" w:lineRule="auto"/>
        <w:jc w:val="both"/>
      </w:pPr>
      <w:r>
        <w:lastRenderedPageBreak/>
        <w:t>U izvještajnom razdoblju nije bilo unutargrupnih transakcija koje su u izvještajima eliminirane.</w:t>
      </w:r>
    </w:p>
    <w:p w14:paraId="31D5294A" w14:textId="77777777" w:rsidR="003F5A0A" w:rsidRDefault="003F5A0A"/>
    <w:p w14:paraId="599DCCBB" w14:textId="77777777" w:rsidR="003F5A0A" w:rsidRDefault="00000000">
      <w:pPr>
        <w:keepNext/>
        <w:spacing w:line="240" w:lineRule="auto"/>
        <w:jc w:val="center"/>
      </w:pPr>
      <w:r>
        <w:rPr>
          <w:sz w:val="28"/>
        </w:rPr>
        <w:t>Bilješka 13.</w:t>
      </w:r>
    </w:p>
    <w:p w14:paraId="15C3FB67" w14:textId="77777777" w:rsidR="003F5A0A" w:rsidRDefault="00000000">
      <w:pPr>
        <w:spacing w:line="240" w:lineRule="auto"/>
        <w:jc w:val="both"/>
      </w:pPr>
      <w:r>
        <w:rPr>
          <w:b/>
        </w:rPr>
        <w:t>Manjak ili višak u poslovanju grupe i pregled strukture manjka/viška po proračunskim korisnicima</w:t>
      </w:r>
    </w:p>
    <w:p w14:paraId="1A904D40" w14:textId="77777777" w:rsidR="003F5A0A" w:rsidRDefault="00000000">
      <w:pPr>
        <w:spacing w:line="240" w:lineRule="auto"/>
        <w:jc w:val="both"/>
      </w:pPr>
      <w:r>
        <w:t>KONSOLIDIRANI IZVJEŠTAJ - UKUPAN MANJAK PRIHODA: 483.685,08 EUR; GRAD ZLATAR - Ukupan manjak prihoda: 426.422,97 EUR; DJEČJI VRTIĆ - Ukupan manjak prihoda: 55.702,85 EUR; GALERIJA IZVORNE UMJETNOSTI - Ukupan manjak prihoda: 57,36 EUR; GRADSKA KNJIŽNICA - Ukupan manjak prihoda: 1.077,21 EUR; PUČKO OTVORENO UČILIŠTE - Ukupan manjak prihoda: 424,69 EUR. U drugoj polovici godine očekuje se povrat sredstava EU po projektima.</w:t>
      </w:r>
    </w:p>
    <w:p w14:paraId="2CF057E2" w14:textId="77777777" w:rsidR="003F5A0A" w:rsidRDefault="003F5A0A"/>
    <w:sectPr w:rsidR="003F5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0A"/>
    <w:rsid w:val="00301F34"/>
    <w:rsid w:val="003F5A0A"/>
    <w:rsid w:val="00881C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BDCF"/>
  <w15:docId w15:val="{E69EE1B9-E3AE-4D7A-82B5-85123F80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1292</Words>
  <Characters>7365</Characters>
  <Application>Microsoft Office Word</Application>
  <DocSecurity>0</DocSecurity>
  <Lines>61</Lines>
  <Paragraphs>17</Paragraphs>
  <ScaleCrop>false</ScaleCrop>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Škuranec Lesičar</dc:creator>
  <cp:lastModifiedBy>Mirela Škuranec Lesičar</cp:lastModifiedBy>
  <cp:revision>2</cp:revision>
  <dcterms:created xsi:type="dcterms:W3CDTF">2025-07-21T09:53:00Z</dcterms:created>
  <dcterms:modified xsi:type="dcterms:W3CDTF">2025-07-21T09:53:00Z</dcterms:modified>
</cp:coreProperties>
</file>