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E37FA" w14:paraId="1DB9254D" w14:textId="77777777">
        <w:tblPrEx>
          <w:tblCellMar>
            <w:top w:w="0" w:type="dxa"/>
            <w:bottom w:w="0" w:type="dxa"/>
          </w:tblCellMar>
        </w:tblPrEx>
        <w:trPr>
          <w:tblCellSpacing w:w="60" w:type="dxa"/>
        </w:trPr>
        <w:tc>
          <w:tcPr>
            <w:tcW w:w="1200" w:type="pct"/>
            <w:shd w:val="clear" w:color="auto" w:fill="E7F0F9"/>
          </w:tcPr>
          <w:p w14:paraId="43941415" w14:textId="77777777" w:rsidR="00AE37FA" w:rsidRDefault="00600A94">
            <w:pPr>
              <w:spacing w:after="0" w:line="240" w:lineRule="auto"/>
            </w:pPr>
            <w:r>
              <w:rPr>
                <w:b/>
              </w:rPr>
              <w:t>RKP broj</w:t>
            </w:r>
          </w:p>
        </w:tc>
        <w:tc>
          <w:tcPr>
            <w:tcW w:w="0" w:type="auto"/>
            <w:shd w:val="clear" w:color="auto" w:fill="E7F0F9"/>
          </w:tcPr>
          <w:p w14:paraId="22D342DF" w14:textId="77777777" w:rsidR="00AE37FA" w:rsidRDefault="00600A94">
            <w:pPr>
              <w:spacing w:after="0" w:line="240" w:lineRule="auto"/>
            </w:pPr>
            <w:r>
              <w:t>37734</w:t>
            </w:r>
          </w:p>
        </w:tc>
      </w:tr>
      <w:tr w:rsidR="00AE37FA" w14:paraId="44ECF0B7" w14:textId="77777777">
        <w:tblPrEx>
          <w:tblCellMar>
            <w:top w:w="0" w:type="dxa"/>
            <w:bottom w:w="0" w:type="dxa"/>
          </w:tblCellMar>
        </w:tblPrEx>
        <w:trPr>
          <w:tblCellSpacing w:w="60" w:type="dxa"/>
        </w:trPr>
        <w:tc>
          <w:tcPr>
            <w:tcW w:w="1200" w:type="pct"/>
            <w:shd w:val="clear" w:color="auto" w:fill="E7F0F9"/>
          </w:tcPr>
          <w:p w14:paraId="62D8CEF7" w14:textId="77777777" w:rsidR="00AE37FA" w:rsidRDefault="00600A94">
            <w:pPr>
              <w:spacing w:after="0" w:line="240" w:lineRule="auto"/>
            </w:pPr>
            <w:r>
              <w:rPr>
                <w:b/>
              </w:rPr>
              <w:t>Naziv obveznika</w:t>
            </w:r>
          </w:p>
        </w:tc>
        <w:tc>
          <w:tcPr>
            <w:tcW w:w="0" w:type="auto"/>
            <w:shd w:val="clear" w:color="auto" w:fill="E7F0F9"/>
          </w:tcPr>
          <w:p w14:paraId="3288CB53" w14:textId="77777777" w:rsidR="00AE37FA" w:rsidRDefault="00600A94">
            <w:pPr>
              <w:spacing w:after="0" w:line="240" w:lineRule="auto"/>
            </w:pPr>
            <w:r>
              <w:t>GRAD ZLATAR</w:t>
            </w:r>
          </w:p>
        </w:tc>
      </w:tr>
      <w:tr w:rsidR="00AE37FA" w14:paraId="029956DE" w14:textId="77777777">
        <w:tblPrEx>
          <w:tblCellMar>
            <w:top w:w="0" w:type="dxa"/>
            <w:bottom w:w="0" w:type="dxa"/>
          </w:tblCellMar>
        </w:tblPrEx>
        <w:trPr>
          <w:tblCellSpacing w:w="60" w:type="dxa"/>
        </w:trPr>
        <w:tc>
          <w:tcPr>
            <w:tcW w:w="1200" w:type="pct"/>
            <w:shd w:val="clear" w:color="auto" w:fill="E7F0F9"/>
          </w:tcPr>
          <w:p w14:paraId="50DB73D9" w14:textId="77777777" w:rsidR="00AE37FA" w:rsidRDefault="00600A94">
            <w:pPr>
              <w:spacing w:after="0" w:line="240" w:lineRule="auto"/>
            </w:pPr>
            <w:r>
              <w:rPr>
                <w:b/>
              </w:rPr>
              <w:t>Razina</w:t>
            </w:r>
          </w:p>
        </w:tc>
        <w:tc>
          <w:tcPr>
            <w:tcW w:w="0" w:type="auto"/>
            <w:shd w:val="clear" w:color="auto" w:fill="E7F0F9"/>
          </w:tcPr>
          <w:p w14:paraId="0DF81DBB" w14:textId="77777777" w:rsidR="00AE37FA" w:rsidRDefault="00600A94">
            <w:pPr>
              <w:spacing w:after="0" w:line="240" w:lineRule="auto"/>
            </w:pPr>
            <w:r>
              <w:t>22</w:t>
            </w:r>
          </w:p>
        </w:tc>
      </w:tr>
    </w:tbl>
    <w:p w14:paraId="4FA64483" w14:textId="77777777" w:rsidR="00AE37FA" w:rsidRDefault="00600A94">
      <w:r>
        <w:br/>
      </w:r>
    </w:p>
    <w:p w14:paraId="389F2278" w14:textId="77777777" w:rsidR="00AE37FA" w:rsidRDefault="00600A94">
      <w:pPr>
        <w:spacing w:line="240" w:lineRule="auto"/>
        <w:jc w:val="center"/>
      </w:pPr>
      <w:r>
        <w:rPr>
          <w:b/>
          <w:sz w:val="28"/>
        </w:rPr>
        <w:t>BILJEŠKE UZ FINANCIJSKE IZVJEŠTAJE</w:t>
      </w:r>
    </w:p>
    <w:p w14:paraId="4BFA2E02" w14:textId="77777777" w:rsidR="00AE37FA" w:rsidRDefault="00600A94">
      <w:pPr>
        <w:spacing w:line="240" w:lineRule="auto"/>
        <w:jc w:val="center"/>
      </w:pPr>
      <w:r>
        <w:rPr>
          <w:b/>
          <w:sz w:val="28"/>
        </w:rPr>
        <w:t>ZA RAZDOBLJE</w:t>
      </w:r>
    </w:p>
    <w:p w14:paraId="57C3E974" w14:textId="77777777" w:rsidR="00AE37FA" w:rsidRDefault="00600A94">
      <w:pPr>
        <w:spacing w:line="240" w:lineRule="auto"/>
        <w:jc w:val="center"/>
      </w:pPr>
      <w:r>
        <w:rPr>
          <w:b/>
          <w:sz w:val="28"/>
        </w:rPr>
        <w:t>I - III 2026.</w:t>
      </w:r>
    </w:p>
    <w:p w14:paraId="11DFE21B" w14:textId="77777777" w:rsidR="00AE37FA" w:rsidRDefault="00AE37FA"/>
    <w:p w14:paraId="54F1ECEA" w14:textId="77777777" w:rsidR="00AE37FA" w:rsidRDefault="00600A94">
      <w:pPr>
        <w:keepNext/>
        <w:spacing w:line="240" w:lineRule="auto"/>
        <w:jc w:val="center"/>
      </w:pPr>
      <w:r>
        <w:rPr>
          <w:b/>
          <w:sz w:val="28"/>
        </w:rPr>
        <w:t>Izvještaj o prihodima i rashodima, primicima i izdacima</w:t>
      </w:r>
    </w:p>
    <w:p w14:paraId="601AB54E" w14:textId="77777777" w:rsidR="00AE37FA" w:rsidRDefault="00600A9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4732C0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AA6B8A"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EC9726"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F7D20"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FF2D0"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B30C9F"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F821BB" w14:textId="77777777" w:rsidR="00AE37FA" w:rsidRDefault="00600A94">
            <w:pPr>
              <w:keepNext/>
              <w:keepLines/>
              <w:spacing w:after="0" w:line="240" w:lineRule="auto"/>
              <w:jc w:val="center"/>
            </w:pPr>
            <w:r>
              <w:rPr>
                <w:b/>
                <w:sz w:val="18"/>
              </w:rPr>
              <w:t>Indeks (%)</w:t>
            </w:r>
          </w:p>
        </w:tc>
      </w:tr>
      <w:tr w:rsidR="00AE37FA" w14:paraId="25EB1540" w14:textId="77777777">
        <w:tblPrEx>
          <w:tblCellMar>
            <w:top w:w="0" w:type="dxa"/>
            <w:bottom w:w="0" w:type="dxa"/>
          </w:tblCellMar>
        </w:tblPrEx>
        <w:trPr>
          <w:cantSplit/>
          <w:trHeight w:val="560"/>
        </w:trPr>
        <w:tc>
          <w:tcPr>
            <w:tcW w:w="700" w:type="dxa"/>
            <w:tcMar>
              <w:top w:w="0" w:type="dxa"/>
              <w:bottom w:w="0" w:type="dxa"/>
            </w:tcMar>
            <w:vAlign w:val="center"/>
          </w:tcPr>
          <w:p w14:paraId="0121F996" w14:textId="77777777" w:rsidR="00AE37FA" w:rsidRDefault="00600A94">
            <w:pPr>
              <w:keepNext/>
              <w:keepLines/>
              <w:spacing w:after="0" w:line="240" w:lineRule="auto"/>
            </w:pPr>
            <w:r>
              <w:rPr>
                <w:sz w:val="18"/>
              </w:rPr>
              <w:t>6</w:t>
            </w:r>
          </w:p>
        </w:tc>
        <w:tc>
          <w:tcPr>
            <w:tcW w:w="3180" w:type="dxa"/>
            <w:tcMar>
              <w:top w:w="0" w:type="dxa"/>
              <w:bottom w:w="0" w:type="dxa"/>
            </w:tcMar>
            <w:vAlign w:val="center"/>
          </w:tcPr>
          <w:p w14:paraId="0F709CE7" w14:textId="77777777" w:rsidR="00AE37FA" w:rsidRDefault="00600A94">
            <w:pPr>
              <w:keepNext/>
              <w:keepLines/>
              <w:spacing w:after="0" w:line="240" w:lineRule="auto"/>
            </w:pPr>
            <w:r>
              <w:rPr>
                <w:sz w:val="18"/>
              </w:rPr>
              <w:t>PRIHODI POSLOVANJA (šifre 61+62+63+64+65+66+67+68)</w:t>
            </w:r>
          </w:p>
        </w:tc>
        <w:tc>
          <w:tcPr>
            <w:tcW w:w="700" w:type="dxa"/>
            <w:tcMar>
              <w:top w:w="0" w:type="dxa"/>
              <w:bottom w:w="0" w:type="dxa"/>
            </w:tcMar>
            <w:vAlign w:val="center"/>
          </w:tcPr>
          <w:p w14:paraId="6E40003D" w14:textId="77777777" w:rsidR="00AE37FA" w:rsidRDefault="00600A94">
            <w:pPr>
              <w:keepNext/>
              <w:keepLines/>
              <w:spacing w:after="0" w:line="240" w:lineRule="auto"/>
            </w:pPr>
            <w:r>
              <w:rPr>
                <w:sz w:val="18"/>
              </w:rPr>
              <w:t>6</w:t>
            </w:r>
          </w:p>
        </w:tc>
        <w:tc>
          <w:tcPr>
            <w:tcW w:w="1860" w:type="dxa"/>
            <w:tcMar>
              <w:top w:w="0" w:type="dxa"/>
              <w:bottom w:w="0" w:type="dxa"/>
            </w:tcMar>
            <w:vAlign w:val="center"/>
          </w:tcPr>
          <w:p w14:paraId="285623F4" w14:textId="77777777" w:rsidR="00AE37FA" w:rsidRDefault="00600A94">
            <w:pPr>
              <w:keepNext/>
              <w:keepLines/>
              <w:spacing w:after="0" w:line="240" w:lineRule="auto"/>
              <w:jc w:val="right"/>
            </w:pPr>
            <w:r>
              <w:rPr>
                <w:sz w:val="18"/>
              </w:rPr>
              <w:t>1.194.746,34</w:t>
            </w:r>
          </w:p>
        </w:tc>
        <w:tc>
          <w:tcPr>
            <w:tcW w:w="1860" w:type="dxa"/>
            <w:tcMar>
              <w:top w:w="0" w:type="dxa"/>
              <w:bottom w:w="0" w:type="dxa"/>
            </w:tcMar>
            <w:vAlign w:val="center"/>
          </w:tcPr>
          <w:p w14:paraId="0BAE0636" w14:textId="77777777" w:rsidR="00AE37FA" w:rsidRDefault="00600A94">
            <w:pPr>
              <w:keepNext/>
              <w:keepLines/>
              <w:spacing w:after="0" w:line="240" w:lineRule="auto"/>
              <w:jc w:val="right"/>
            </w:pPr>
            <w:r>
              <w:rPr>
                <w:sz w:val="18"/>
              </w:rPr>
              <w:t>1.633.757,80</w:t>
            </w:r>
          </w:p>
        </w:tc>
        <w:tc>
          <w:tcPr>
            <w:tcW w:w="700" w:type="dxa"/>
            <w:tcMar>
              <w:top w:w="0" w:type="dxa"/>
              <w:bottom w:w="0" w:type="dxa"/>
            </w:tcMar>
            <w:vAlign w:val="center"/>
          </w:tcPr>
          <w:p w14:paraId="2E30EC6E" w14:textId="77777777" w:rsidR="00AE37FA" w:rsidRDefault="00600A94">
            <w:pPr>
              <w:keepNext/>
              <w:keepLines/>
              <w:spacing w:after="0" w:line="240" w:lineRule="auto"/>
              <w:jc w:val="right"/>
            </w:pPr>
            <w:r>
              <w:rPr>
                <w:sz w:val="18"/>
              </w:rPr>
              <w:t>136,7</w:t>
            </w:r>
          </w:p>
        </w:tc>
      </w:tr>
      <w:tr w:rsidR="00AE37FA" w14:paraId="3907F8B0" w14:textId="77777777">
        <w:tblPrEx>
          <w:tblCellMar>
            <w:top w:w="0" w:type="dxa"/>
            <w:bottom w:w="0" w:type="dxa"/>
          </w:tblCellMar>
        </w:tblPrEx>
        <w:trPr>
          <w:cantSplit/>
          <w:trHeight w:val="560"/>
        </w:trPr>
        <w:tc>
          <w:tcPr>
            <w:tcW w:w="700" w:type="dxa"/>
            <w:tcMar>
              <w:top w:w="0" w:type="dxa"/>
              <w:bottom w:w="0" w:type="dxa"/>
            </w:tcMar>
            <w:vAlign w:val="center"/>
          </w:tcPr>
          <w:p w14:paraId="469AF132" w14:textId="77777777" w:rsidR="00AE37FA" w:rsidRDefault="00600A94">
            <w:pPr>
              <w:keepNext/>
              <w:keepLines/>
              <w:spacing w:after="0" w:line="240" w:lineRule="auto"/>
            </w:pPr>
            <w:r>
              <w:rPr>
                <w:sz w:val="18"/>
              </w:rPr>
              <w:t>3</w:t>
            </w:r>
          </w:p>
        </w:tc>
        <w:tc>
          <w:tcPr>
            <w:tcW w:w="3180" w:type="dxa"/>
            <w:tcMar>
              <w:top w:w="0" w:type="dxa"/>
              <w:bottom w:w="0" w:type="dxa"/>
            </w:tcMar>
            <w:vAlign w:val="center"/>
          </w:tcPr>
          <w:p w14:paraId="4123E6CD" w14:textId="77777777" w:rsidR="00AE37FA" w:rsidRDefault="00600A94">
            <w:pPr>
              <w:keepNext/>
              <w:keepLines/>
              <w:spacing w:after="0" w:line="240" w:lineRule="auto"/>
            </w:pPr>
            <w:r>
              <w:rPr>
                <w:sz w:val="18"/>
              </w:rPr>
              <w:t>RASHODI POSLOVANJA (šifre 31+32+34+35+36+37+38)</w:t>
            </w:r>
          </w:p>
        </w:tc>
        <w:tc>
          <w:tcPr>
            <w:tcW w:w="700" w:type="dxa"/>
            <w:tcMar>
              <w:top w:w="0" w:type="dxa"/>
              <w:bottom w:w="0" w:type="dxa"/>
            </w:tcMar>
            <w:vAlign w:val="center"/>
          </w:tcPr>
          <w:p w14:paraId="195A25EF" w14:textId="77777777" w:rsidR="00AE37FA" w:rsidRDefault="00600A94">
            <w:pPr>
              <w:keepNext/>
              <w:keepLines/>
              <w:spacing w:after="0" w:line="240" w:lineRule="auto"/>
            </w:pPr>
            <w:r>
              <w:rPr>
                <w:sz w:val="18"/>
              </w:rPr>
              <w:t>3</w:t>
            </w:r>
          </w:p>
        </w:tc>
        <w:tc>
          <w:tcPr>
            <w:tcW w:w="1860" w:type="dxa"/>
            <w:tcMar>
              <w:top w:w="0" w:type="dxa"/>
              <w:bottom w:w="0" w:type="dxa"/>
            </w:tcMar>
            <w:vAlign w:val="center"/>
          </w:tcPr>
          <w:p w14:paraId="326E0509" w14:textId="77777777" w:rsidR="00AE37FA" w:rsidRDefault="00600A94">
            <w:pPr>
              <w:keepNext/>
              <w:keepLines/>
              <w:spacing w:after="0" w:line="240" w:lineRule="auto"/>
              <w:jc w:val="right"/>
            </w:pPr>
            <w:r>
              <w:rPr>
                <w:sz w:val="18"/>
              </w:rPr>
              <w:t>765.983,34</w:t>
            </w:r>
          </w:p>
        </w:tc>
        <w:tc>
          <w:tcPr>
            <w:tcW w:w="1860" w:type="dxa"/>
            <w:tcMar>
              <w:top w:w="0" w:type="dxa"/>
              <w:bottom w:w="0" w:type="dxa"/>
            </w:tcMar>
            <w:vAlign w:val="center"/>
          </w:tcPr>
          <w:p w14:paraId="41C4017C" w14:textId="77777777" w:rsidR="00AE37FA" w:rsidRDefault="00600A94">
            <w:pPr>
              <w:keepNext/>
              <w:keepLines/>
              <w:spacing w:after="0" w:line="240" w:lineRule="auto"/>
              <w:jc w:val="right"/>
            </w:pPr>
            <w:r>
              <w:rPr>
                <w:sz w:val="18"/>
              </w:rPr>
              <w:t>756.244,85</w:t>
            </w:r>
          </w:p>
        </w:tc>
        <w:tc>
          <w:tcPr>
            <w:tcW w:w="700" w:type="dxa"/>
            <w:tcMar>
              <w:top w:w="0" w:type="dxa"/>
              <w:bottom w:w="0" w:type="dxa"/>
            </w:tcMar>
            <w:vAlign w:val="center"/>
          </w:tcPr>
          <w:p w14:paraId="1779DC5F" w14:textId="77777777" w:rsidR="00AE37FA" w:rsidRDefault="00600A94">
            <w:pPr>
              <w:keepNext/>
              <w:keepLines/>
              <w:spacing w:after="0" w:line="240" w:lineRule="auto"/>
              <w:jc w:val="right"/>
            </w:pPr>
            <w:r>
              <w:rPr>
                <w:sz w:val="18"/>
              </w:rPr>
              <w:t>98,7</w:t>
            </w:r>
          </w:p>
        </w:tc>
      </w:tr>
      <w:tr w:rsidR="00AE37FA" w14:paraId="38F02FF5" w14:textId="77777777">
        <w:tblPrEx>
          <w:tblCellMar>
            <w:top w:w="0" w:type="dxa"/>
            <w:bottom w:w="0" w:type="dxa"/>
          </w:tblCellMar>
        </w:tblPrEx>
        <w:trPr>
          <w:cantSplit/>
          <w:trHeight w:val="560"/>
        </w:trPr>
        <w:tc>
          <w:tcPr>
            <w:tcW w:w="700" w:type="dxa"/>
            <w:tcMar>
              <w:top w:w="0" w:type="dxa"/>
              <w:bottom w:w="0" w:type="dxa"/>
            </w:tcMar>
            <w:vAlign w:val="center"/>
          </w:tcPr>
          <w:p w14:paraId="01DC390E" w14:textId="77777777" w:rsidR="00AE37FA" w:rsidRDefault="00AE37FA">
            <w:pPr>
              <w:keepNext/>
              <w:keepLines/>
              <w:spacing w:after="0" w:line="240" w:lineRule="auto"/>
            </w:pPr>
          </w:p>
        </w:tc>
        <w:tc>
          <w:tcPr>
            <w:tcW w:w="3180" w:type="dxa"/>
            <w:tcMar>
              <w:top w:w="0" w:type="dxa"/>
              <w:bottom w:w="0" w:type="dxa"/>
            </w:tcMar>
            <w:vAlign w:val="center"/>
          </w:tcPr>
          <w:p w14:paraId="78857BA4" w14:textId="77777777" w:rsidR="00AE37FA" w:rsidRDefault="00600A94">
            <w:pPr>
              <w:keepNext/>
              <w:keepLines/>
              <w:spacing w:after="0" w:line="240" w:lineRule="auto"/>
            </w:pPr>
            <w:r>
              <w:rPr>
                <w:b/>
                <w:sz w:val="18"/>
              </w:rPr>
              <w:t>VIŠAK PRIHODA POSLOVANJA (šifre 6-Z005)</w:t>
            </w:r>
          </w:p>
        </w:tc>
        <w:tc>
          <w:tcPr>
            <w:tcW w:w="700" w:type="dxa"/>
            <w:tcMar>
              <w:top w:w="0" w:type="dxa"/>
              <w:bottom w:w="0" w:type="dxa"/>
            </w:tcMar>
            <w:vAlign w:val="center"/>
          </w:tcPr>
          <w:p w14:paraId="33E52D34" w14:textId="77777777" w:rsidR="00AE37FA" w:rsidRDefault="00600A94">
            <w:pPr>
              <w:keepNext/>
              <w:keepLines/>
              <w:spacing w:after="0" w:line="240" w:lineRule="auto"/>
            </w:pPr>
            <w:r>
              <w:rPr>
                <w:b/>
                <w:sz w:val="18"/>
              </w:rPr>
              <w:t>X001</w:t>
            </w:r>
          </w:p>
        </w:tc>
        <w:tc>
          <w:tcPr>
            <w:tcW w:w="1860" w:type="dxa"/>
            <w:tcMar>
              <w:top w:w="0" w:type="dxa"/>
              <w:bottom w:w="0" w:type="dxa"/>
            </w:tcMar>
            <w:vAlign w:val="center"/>
          </w:tcPr>
          <w:p w14:paraId="7A040093" w14:textId="77777777" w:rsidR="00AE37FA" w:rsidRDefault="00600A94">
            <w:pPr>
              <w:keepNext/>
              <w:keepLines/>
              <w:spacing w:after="0" w:line="240" w:lineRule="auto"/>
              <w:jc w:val="right"/>
            </w:pPr>
            <w:r>
              <w:rPr>
                <w:b/>
                <w:sz w:val="18"/>
              </w:rPr>
              <w:t>428.763,00</w:t>
            </w:r>
          </w:p>
        </w:tc>
        <w:tc>
          <w:tcPr>
            <w:tcW w:w="1860" w:type="dxa"/>
            <w:tcMar>
              <w:top w:w="0" w:type="dxa"/>
              <w:bottom w:w="0" w:type="dxa"/>
            </w:tcMar>
            <w:vAlign w:val="center"/>
          </w:tcPr>
          <w:p w14:paraId="0696FBB2" w14:textId="77777777" w:rsidR="00AE37FA" w:rsidRDefault="00600A94">
            <w:pPr>
              <w:keepNext/>
              <w:keepLines/>
              <w:spacing w:after="0" w:line="240" w:lineRule="auto"/>
              <w:jc w:val="right"/>
            </w:pPr>
            <w:r>
              <w:rPr>
                <w:b/>
                <w:sz w:val="18"/>
              </w:rPr>
              <w:t>877.512,95</w:t>
            </w:r>
          </w:p>
        </w:tc>
        <w:tc>
          <w:tcPr>
            <w:tcW w:w="700" w:type="dxa"/>
            <w:tcMar>
              <w:top w:w="0" w:type="dxa"/>
              <w:bottom w:w="0" w:type="dxa"/>
            </w:tcMar>
            <w:vAlign w:val="center"/>
          </w:tcPr>
          <w:p w14:paraId="69428B8B" w14:textId="77777777" w:rsidR="00AE37FA" w:rsidRDefault="00600A94">
            <w:pPr>
              <w:keepNext/>
              <w:keepLines/>
              <w:spacing w:after="0" w:line="240" w:lineRule="auto"/>
              <w:jc w:val="right"/>
            </w:pPr>
            <w:r>
              <w:rPr>
                <w:b/>
                <w:sz w:val="18"/>
              </w:rPr>
              <w:t>204,7</w:t>
            </w:r>
          </w:p>
        </w:tc>
      </w:tr>
      <w:tr w:rsidR="00AE37FA" w14:paraId="4958CDDD" w14:textId="77777777">
        <w:tblPrEx>
          <w:tblCellMar>
            <w:top w:w="0" w:type="dxa"/>
            <w:bottom w:w="0" w:type="dxa"/>
          </w:tblCellMar>
        </w:tblPrEx>
        <w:trPr>
          <w:cantSplit/>
          <w:trHeight w:val="560"/>
        </w:trPr>
        <w:tc>
          <w:tcPr>
            <w:tcW w:w="700" w:type="dxa"/>
            <w:tcMar>
              <w:top w:w="0" w:type="dxa"/>
              <w:bottom w:w="0" w:type="dxa"/>
            </w:tcMar>
            <w:vAlign w:val="center"/>
          </w:tcPr>
          <w:p w14:paraId="716CA963" w14:textId="77777777" w:rsidR="00AE37FA" w:rsidRDefault="00600A94">
            <w:pPr>
              <w:keepNext/>
              <w:keepLines/>
              <w:spacing w:after="0" w:line="240" w:lineRule="auto"/>
            </w:pPr>
            <w:r>
              <w:rPr>
                <w:sz w:val="18"/>
              </w:rPr>
              <w:t>7</w:t>
            </w:r>
          </w:p>
        </w:tc>
        <w:tc>
          <w:tcPr>
            <w:tcW w:w="3180" w:type="dxa"/>
            <w:tcMar>
              <w:top w:w="0" w:type="dxa"/>
              <w:bottom w:w="0" w:type="dxa"/>
            </w:tcMar>
            <w:vAlign w:val="center"/>
          </w:tcPr>
          <w:p w14:paraId="70AB1D91" w14:textId="77777777" w:rsidR="00AE37FA" w:rsidRDefault="00600A9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F9A4560" w14:textId="77777777" w:rsidR="00AE37FA" w:rsidRDefault="00600A94">
            <w:pPr>
              <w:keepNext/>
              <w:keepLines/>
              <w:spacing w:after="0" w:line="240" w:lineRule="auto"/>
            </w:pPr>
            <w:r>
              <w:rPr>
                <w:sz w:val="18"/>
              </w:rPr>
              <w:t>7</w:t>
            </w:r>
          </w:p>
        </w:tc>
        <w:tc>
          <w:tcPr>
            <w:tcW w:w="1860" w:type="dxa"/>
            <w:tcMar>
              <w:top w:w="0" w:type="dxa"/>
              <w:bottom w:w="0" w:type="dxa"/>
            </w:tcMar>
            <w:vAlign w:val="center"/>
          </w:tcPr>
          <w:p w14:paraId="0C645DE7"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01731B4C" w14:textId="77777777" w:rsidR="00AE37FA" w:rsidRDefault="00600A94">
            <w:pPr>
              <w:keepNext/>
              <w:keepLines/>
              <w:spacing w:after="0" w:line="240" w:lineRule="auto"/>
              <w:jc w:val="right"/>
            </w:pPr>
            <w:r>
              <w:rPr>
                <w:sz w:val="18"/>
              </w:rPr>
              <w:t>0,00</w:t>
            </w:r>
          </w:p>
        </w:tc>
        <w:tc>
          <w:tcPr>
            <w:tcW w:w="700" w:type="dxa"/>
            <w:tcMar>
              <w:top w:w="0" w:type="dxa"/>
              <w:bottom w:w="0" w:type="dxa"/>
            </w:tcMar>
            <w:vAlign w:val="center"/>
          </w:tcPr>
          <w:p w14:paraId="37EAE4D0" w14:textId="77777777" w:rsidR="00AE37FA" w:rsidRDefault="00600A94">
            <w:pPr>
              <w:keepNext/>
              <w:keepLines/>
              <w:spacing w:after="0" w:line="240" w:lineRule="auto"/>
              <w:jc w:val="right"/>
            </w:pPr>
            <w:r>
              <w:rPr>
                <w:sz w:val="18"/>
              </w:rPr>
              <w:t>-</w:t>
            </w:r>
          </w:p>
        </w:tc>
      </w:tr>
      <w:tr w:rsidR="00AE37FA" w14:paraId="63C99D54" w14:textId="77777777">
        <w:tblPrEx>
          <w:tblCellMar>
            <w:top w:w="0" w:type="dxa"/>
            <w:bottom w:w="0" w:type="dxa"/>
          </w:tblCellMar>
        </w:tblPrEx>
        <w:trPr>
          <w:cantSplit/>
          <w:trHeight w:val="560"/>
        </w:trPr>
        <w:tc>
          <w:tcPr>
            <w:tcW w:w="700" w:type="dxa"/>
            <w:tcMar>
              <w:top w:w="0" w:type="dxa"/>
              <w:bottom w:w="0" w:type="dxa"/>
            </w:tcMar>
            <w:vAlign w:val="center"/>
          </w:tcPr>
          <w:p w14:paraId="6EDE7578" w14:textId="77777777" w:rsidR="00AE37FA" w:rsidRDefault="00600A94">
            <w:pPr>
              <w:keepNext/>
              <w:keepLines/>
              <w:spacing w:after="0" w:line="240" w:lineRule="auto"/>
            </w:pPr>
            <w:r>
              <w:rPr>
                <w:sz w:val="18"/>
              </w:rPr>
              <w:t>4</w:t>
            </w:r>
          </w:p>
        </w:tc>
        <w:tc>
          <w:tcPr>
            <w:tcW w:w="3180" w:type="dxa"/>
            <w:tcMar>
              <w:top w:w="0" w:type="dxa"/>
              <w:bottom w:w="0" w:type="dxa"/>
            </w:tcMar>
            <w:vAlign w:val="center"/>
          </w:tcPr>
          <w:p w14:paraId="674D62CB" w14:textId="77777777" w:rsidR="00AE37FA" w:rsidRDefault="00600A9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ED3FCA9" w14:textId="77777777" w:rsidR="00AE37FA" w:rsidRDefault="00600A94">
            <w:pPr>
              <w:keepNext/>
              <w:keepLines/>
              <w:spacing w:after="0" w:line="240" w:lineRule="auto"/>
            </w:pPr>
            <w:r>
              <w:rPr>
                <w:sz w:val="18"/>
              </w:rPr>
              <w:t>4</w:t>
            </w:r>
          </w:p>
        </w:tc>
        <w:tc>
          <w:tcPr>
            <w:tcW w:w="1860" w:type="dxa"/>
            <w:tcMar>
              <w:top w:w="0" w:type="dxa"/>
              <w:bottom w:w="0" w:type="dxa"/>
            </w:tcMar>
            <w:vAlign w:val="center"/>
          </w:tcPr>
          <w:p w14:paraId="45909CFC" w14:textId="77777777" w:rsidR="00AE37FA" w:rsidRDefault="00600A94">
            <w:pPr>
              <w:keepNext/>
              <w:keepLines/>
              <w:spacing w:after="0" w:line="240" w:lineRule="auto"/>
              <w:jc w:val="right"/>
            </w:pPr>
            <w:r>
              <w:rPr>
                <w:sz w:val="18"/>
              </w:rPr>
              <w:t>190.746,22</w:t>
            </w:r>
          </w:p>
        </w:tc>
        <w:tc>
          <w:tcPr>
            <w:tcW w:w="1860" w:type="dxa"/>
            <w:tcMar>
              <w:top w:w="0" w:type="dxa"/>
              <w:bottom w:w="0" w:type="dxa"/>
            </w:tcMar>
            <w:vAlign w:val="center"/>
          </w:tcPr>
          <w:p w14:paraId="57E35539" w14:textId="77777777" w:rsidR="00AE37FA" w:rsidRDefault="00600A94">
            <w:pPr>
              <w:keepNext/>
              <w:keepLines/>
              <w:spacing w:after="0" w:line="240" w:lineRule="auto"/>
              <w:jc w:val="right"/>
            </w:pPr>
            <w:r>
              <w:rPr>
                <w:sz w:val="18"/>
              </w:rPr>
              <w:t>630.306,67</w:t>
            </w:r>
          </w:p>
        </w:tc>
        <w:tc>
          <w:tcPr>
            <w:tcW w:w="700" w:type="dxa"/>
            <w:tcMar>
              <w:top w:w="0" w:type="dxa"/>
              <w:bottom w:w="0" w:type="dxa"/>
            </w:tcMar>
            <w:vAlign w:val="center"/>
          </w:tcPr>
          <w:p w14:paraId="47495834" w14:textId="77777777" w:rsidR="00AE37FA" w:rsidRDefault="00600A94">
            <w:pPr>
              <w:keepNext/>
              <w:keepLines/>
              <w:spacing w:after="0" w:line="240" w:lineRule="auto"/>
              <w:jc w:val="right"/>
            </w:pPr>
            <w:r>
              <w:rPr>
                <w:sz w:val="18"/>
              </w:rPr>
              <w:t>330,4</w:t>
            </w:r>
          </w:p>
        </w:tc>
      </w:tr>
      <w:tr w:rsidR="00AE37FA" w14:paraId="69D52521" w14:textId="77777777">
        <w:tblPrEx>
          <w:tblCellMar>
            <w:top w:w="0" w:type="dxa"/>
            <w:bottom w:w="0" w:type="dxa"/>
          </w:tblCellMar>
        </w:tblPrEx>
        <w:trPr>
          <w:cantSplit/>
          <w:trHeight w:val="560"/>
        </w:trPr>
        <w:tc>
          <w:tcPr>
            <w:tcW w:w="700" w:type="dxa"/>
            <w:tcMar>
              <w:top w:w="0" w:type="dxa"/>
              <w:bottom w:w="0" w:type="dxa"/>
            </w:tcMar>
            <w:vAlign w:val="center"/>
          </w:tcPr>
          <w:p w14:paraId="48A58292" w14:textId="77777777" w:rsidR="00AE37FA" w:rsidRDefault="00AE37FA">
            <w:pPr>
              <w:keepNext/>
              <w:keepLines/>
              <w:spacing w:after="0" w:line="240" w:lineRule="auto"/>
            </w:pPr>
          </w:p>
        </w:tc>
        <w:tc>
          <w:tcPr>
            <w:tcW w:w="3180" w:type="dxa"/>
            <w:tcMar>
              <w:top w:w="0" w:type="dxa"/>
              <w:bottom w:w="0" w:type="dxa"/>
            </w:tcMar>
            <w:vAlign w:val="center"/>
          </w:tcPr>
          <w:p w14:paraId="108EF9D4" w14:textId="77777777" w:rsidR="00AE37FA" w:rsidRDefault="00600A9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812E4E0" w14:textId="77777777" w:rsidR="00AE37FA" w:rsidRDefault="00600A94">
            <w:pPr>
              <w:keepNext/>
              <w:keepLines/>
              <w:spacing w:after="0" w:line="240" w:lineRule="auto"/>
            </w:pPr>
            <w:r>
              <w:rPr>
                <w:b/>
                <w:sz w:val="18"/>
              </w:rPr>
              <w:t>Y002</w:t>
            </w:r>
          </w:p>
        </w:tc>
        <w:tc>
          <w:tcPr>
            <w:tcW w:w="1860" w:type="dxa"/>
            <w:tcMar>
              <w:top w:w="0" w:type="dxa"/>
              <w:bottom w:w="0" w:type="dxa"/>
            </w:tcMar>
            <w:vAlign w:val="center"/>
          </w:tcPr>
          <w:p w14:paraId="67E33B51" w14:textId="77777777" w:rsidR="00AE37FA" w:rsidRDefault="00600A94">
            <w:pPr>
              <w:keepNext/>
              <w:keepLines/>
              <w:spacing w:after="0" w:line="240" w:lineRule="auto"/>
              <w:jc w:val="right"/>
            </w:pPr>
            <w:r>
              <w:rPr>
                <w:b/>
                <w:sz w:val="18"/>
              </w:rPr>
              <w:t>190.746,22</w:t>
            </w:r>
          </w:p>
        </w:tc>
        <w:tc>
          <w:tcPr>
            <w:tcW w:w="1860" w:type="dxa"/>
            <w:tcMar>
              <w:top w:w="0" w:type="dxa"/>
              <w:bottom w:w="0" w:type="dxa"/>
            </w:tcMar>
            <w:vAlign w:val="center"/>
          </w:tcPr>
          <w:p w14:paraId="13677961" w14:textId="77777777" w:rsidR="00AE37FA" w:rsidRDefault="00600A94">
            <w:pPr>
              <w:keepNext/>
              <w:keepLines/>
              <w:spacing w:after="0" w:line="240" w:lineRule="auto"/>
              <w:jc w:val="right"/>
            </w:pPr>
            <w:r>
              <w:rPr>
                <w:b/>
                <w:sz w:val="18"/>
              </w:rPr>
              <w:t>630.306,67</w:t>
            </w:r>
          </w:p>
        </w:tc>
        <w:tc>
          <w:tcPr>
            <w:tcW w:w="700" w:type="dxa"/>
            <w:tcMar>
              <w:top w:w="0" w:type="dxa"/>
              <w:bottom w:w="0" w:type="dxa"/>
            </w:tcMar>
            <w:vAlign w:val="center"/>
          </w:tcPr>
          <w:p w14:paraId="03A847BF" w14:textId="77777777" w:rsidR="00AE37FA" w:rsidRDefault="00600A94">
            <w:pPr>
              <w:keepNext/>
              <w:keepLines/>
              <w:spacing w:after="0" w:line="240" w:lineRule="auto"/>
              <w:jc w:val="right"/>
            </w:pPr>
            <w:r>
              <w:rPr>
                <w:b/>
                <w:sz w:val="18"/>
              </w:rPr>
              <w:t>330,4</w:t>
            </w:r>
          </w:p>
        </w:tc>
      </w:tr>
      <w:tr w:rsidR="00AE37FA" w14:paraId="11135914" w14:textId="77777777">
        <w:tblPrEx>
          <w:tblCellMar>
            <w:top w:w="0" w:type="dxa"/>
            <w:bottom w:w="0" w:type="dxa"/>
          </w:tblCellMar>
        </w:tblPrEx>
        <w:trPr>
          <w:cantSplit/>
          <w:trHeight w:val="560"/>
        </w:trPr>
        <w:tc>
          <w:tcPr>
            <w:tcW w:w="700" w:type="dxa"/>
            <w:tcMar>
              <w:top w:w="0" w:type="dxa"/>
              <w:bottom w:w="0" w:type="dxa"/>
            </w:tcMar>
            <w:vAlign w:val="center"/>
          </w:tcPr>
          <w:p w14:paraId="30FE4C6A" w14:textId="77777777" w:rsidR="00AE37FA" w:rsidRDefault="00600A94">
            <w:pPr>
              <w:keepNext/>
              <w:keepLines/>
              <w:spacing w:after="0" w:line="240" w:lineRule="auto"/>
            </w:pPr>
            <w:r>
              <w:rPr>
                <w:sz w:val="18"/>
              </w:rPr>
              <w:t>8</w:t>
            </w:r>
          </w:p>
        </w:tc>
        <w:tc>
          <w:tcPr>
            <w:tcW w:w="3180" w:type="dxa"/>
            <w:tcMar>
              <w:top w:w="0" w:type="dxa"/>
              <w:bottom w:w="0" w:type="dxa"/>
            </w:tcMar>
            <w:vAlign w:val="center"/>
          </w:tcPr>
          <w:p w14:paraId="26C647CA" w14:textId="77777777" w:rsidR="00AE37FA" w:rsidRDefault="00600A9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FBCDC96" w14:textId="77777777" w:rsidR="00AE37FA" w:rsidRDefault="00600A94">
            <w:pPr>
              <w:keepNext/>
              <w:keepLines/>
              <w:spacing w:after="0" w:line="240" w:lineRule="auto"/>
            </w:pPr>
            <w:r>
              <w:rPr>
                <w:sz w:val="18"/>
              </w:rPr>
              <w:t>8</w:t>
            </w:r>
          </w:p>
        </w:tc>
        <w:tc>
          <w:tcPr>
            <w:tcW w:w="1860" w:type="dxa"/>
            <w:tcMar>
              <w:top w:w="0" w:type="dxa"/>
              <w:bottom w:w="0" w:type="dxa"/>
            </w:tcMar>
            <w:vAlign w:val="center"/>
          </w:tcPr>
          <w:p w14:paraId="2B6735EB"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318C4087" w14:textId="77777777" w:rsidR="00AE37FA" w:rsidRDefault="00600A94">
            <w:pPr>
              <w:keepNext/>
              <w:keepLines/>
              <w:spacing w:after="0" w:line="240" w:lineRule="auto"/>
              <w:jc w:val="right"/>
            </w:pPr>
            <w:r>
              <w:rPr>
                <w:sz w:val="18"/>
              </w:rPr>
              <w:t>97.249,31</w:t>
            </w:r>
          </w:p>
        </w:tc>
        <w:tc>
          <w:tcPr>
            <w:tcW w:w="700" w:type="dxa"/>
            <w:tcMar>
              <w:top w:w="0" w:type="dxa"/>
              <w:bottom w:w="0" w:type="dxa"/>
            </w:tcMar>
            <w:vAlign w:val="center"/>
          </w:tcPr>
          <w:p w14:paraId="6C9451CF" w14:textId="77777777" w:rsidR="00AE37FA" w:rsidRDefault="00600A94">
            <w:pPr>
              <w:keepNext/>
              <w:keepLines/>
              <w:spacing w:after="0" w:line="240" w:lineRule="auto"/>
              <w:jc w:val="right"/>
            </w:pPr>
            <w:r>
              <w:rPr>
                <w:sz w:val="18"/>
              </w:rPr>
              <w:t>-</w:t>
            </w:r>
          </w:p>
        </w:tc>
      </w:tr>
      <w:tr w:rsidR="00AE37FA" w14:paraId="53B8C900" w14:textId="77777777">
        <w:tblPrEx>
          <w:tblCellMar>
            <w:top w:w="0" w:type="dxa"/>
            <w:bottom w:w="0" w:type="dxa"/>
          </w:tblCellMar>
        </w:tblPrEx>
        <w:trPr>
          <w:cantSplit/>
          <w:trHeight w:val="560"/>
        </w:trPr>
        <w:tc>
          <w:tcPr>
            <w:tcW w:w="700" w:type="dxa"/>
            <w:tcMar>
              <w:top w:w="0" w:type="dxa"/>
              <w:bottom w:w="0" w:type="dxa"/>
            </w:tcMar>
            <w:vAlign w:val="center"/>
          </w:tcPr>
          <w:p w14:paraId="2E4D16E1" w14:textId="77777777" w:rsidR="00AE37FA" w:rsidRDefault="00600A94">
            <w:pPr>
              <w:keepNext/>
              <w:keepLines/>
              <w:spacing w:after="0" w:line="240" w:lineRule="auto"/>
            </w:pPr>
            <w:r>
              <w:rPr>
                <w:sz w:val="18"/>
              </w:rPr>
              <w:t>5</w:t>
            </w:r>
          </w:p>
        </w:tc>
        <w:tc>
          <w:tcPr>
            <w:tcW w:w="3180" w:type="dxa"/>
            <w:tcMar>
              <w:top w:w="0" w:type="dxa"/>
              <w:bottom w:w="0" w:type="dxa"/>
            </w:tcMar>
            <w:vAlign w:val="center"/>
          </w:tcPr>
          <w:p w14:paraId="5E737B92" w14:textId="77777777" w:rsidR="00AE37FA" w:rsidRDefault="00600A9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F5874F9" w14:textId="77777777" w:rsidR="00AE37FA" w:rsidRDefault="00600A94">
            <w:pPr>
              <w:keepNext/>
              <w:keepLines/>
              <w:spacing w:after="0" w:line="240" w:lineRule="auto"/>
            </w:pPr>
            <w:r>
              <w:rPr>
                <w:sz w:val="18"/>
              </w:rPr>
              <w:t>5</w:t>
            </w:r>
          </w:p>
        </w:tc>
        <w:tc>
          <w:tcPr>
            <w:tcW w:w="1860" w:type="dxa"/>
            <w:tcMar>
              <w:top w:w="0" w:type="dxa"/>
              <w:bottom w:w="0" w:type="dxa"/>
            </w:tcMar>
            <w:vAlign w:val="center"/>
          </w:tcPr>
          <w:p w14:paraId="4F8C1B45" w14:textId="77777777" w:rsidR="00AE37FA" w:rsidRDefault="00600A94">
            <w:pPr>
              <w:keepNext/>
              <w:keepLines/>
              <w:spacing w:after="0" w:line="240" w:lineRule="auto"/>
              <w:jc w:val="right"/>
            </w:pPr>
            <w:r>
              <w:rPr>
                <w:sz w:val="18"/>
              </w:rPr>
              <w:t>30.048,33</w:t>
            </w:r>
          </w:p>
        </w:tc>
        <w:tc>
          <w:tcPr>
            <w:tcW w:w="1860" w:type="dxa"/>
            <w:tcMar>
              <w:top w:w="0" w:type="dxa"/>
              <w:bottom w:w="0" w:type="dxa"/>
            </w:tcMar>
            <w:vAlign w:val="center"/>
          </w:tcPr>
          <w:p w14:paraId="4CFF035A" w14:textId="77777777" w:rsidR="00AE37FA" w:rsidRDefault="00600A94">
            <w:pPr>
              <w:keepNext/>
              <w:keepLines/>
              <w:spacing w:after="0" w:line="240" w:lineRule="auto"/>
              <w:jc w:val="right"/>
            </w:pPr>
            <w:r>
              <w:rPr>
                <w:sz w:val="18"/>
              </w:rPr>
              <w:t>49.817,43</w:t>
            </w:r>
          </w:p>
        </w:tc>
        <w:tc>
          <w:tcPr>
            <w:tcW w:w="700" w:type="dxa"/>
            <w:tcMar>
              <w:top w:w="0" w:type="dxa"/>
              <w:bottom w:w="0" w:type="dxa"/>
            </w:tcMar>
            <w:vAlign w:val="center"/>
          </w:tcPr>
          <w:p w14:paraId="6E307300" w14:textId="77777777" w:rsidR="00AE37FA" w:rsidRDefault="00600A94">
            <w:pPr>
              <w:keepNext/>
              <w:keepLines/>
              <w:spacing w:after="0" w:line="240" w:lineRule="auto"/>
              <w:jc w:val="right"/>
            </w:pPr>
            <w:r>
              <w:rPr>
                <w:sz w:val="18"/>
              </w:rPr>
              <w:t>165,8</w:t>
            </w:r>
          </w:p>
        </w:tc>
      </w:tr>
      <w:tr w:rsidR="00AE37FA" w14:paraId="40AC85EC" w14:textId="77777777">
        <w:tblPrEx>
          <w:tblCellMar>
            <w:top w:w="0" w:type="dxa"/>
            <w:bottom w:w="0" w:type="dxa"/>
          </w:tblCellMar>
        </w:tblPrEx>
        <w:trPr>
          <w:cantSplit/>
          <w:trHeight w:val="560"/>
        </w:trPr>
        <w:tc>
          <w:tcPr>
            <w:tcW w:w="700" w:type="dxa"/>
            <w:tcMar>
              <w:top w:w="0" w:type="dxa"/>
              <w:bottom w:w="0" w:type="dxa"/>
            </w:tcMar>
            <w:vAlign w:val="center"/>
          </w:tcPr>
          <w:p w14:paraId="7303E488" w14:textId="77777777" w:rsidR="00AE37FA" w:rsidRDefault="00AE37FA">
            <w:pPr>
              <w:keepNext/>
              <w:keepLines/>
              <w:spacing w:after="0" w:line="240" w:lineRule="auto"/>
            </w:pPr>
          </w:p>
        </w:tc>
        <w:tc>
          <w:tcPr>
            <w:tcW w:w="3180" w:type="dxa"/>
            <w:tcMar>
              <w:top w:w="0" w:type="dxa"/>
              <w:bottom w:w="0" w:type="dxa"/>
            </w:tcMar>
            <w:vAlign w:val="center"/>
          </w:tcPr>
          <w:p w14:paraId="776325F2" w14:textId="77777777" w:rsidR="00AE37FA" w:rsidRDefault="00600A94">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1B3AE86" w14:textId="77777777" w:rsidR="00AE37FA" w:rsidRDefault="00600A94">
            <w:pPr>
              <w:keepNext/>
              <w:keepLines/>
              <w:spacing w:after="0" w:line="240" w:lineRule="auto"/>
            </w:pPr>
            <w:r>
              <w:rPr>
                <w:b/>
                <w:sz w:val="18"/>
              </w:rPr>
              <w:t>X003</w:t>
            </w:r>
          </w:p>
        </w:tc>
        <w:tc>
          <w:tcPr>
            <w:tcW w:w="1860" w:type="dxa"/>
            <w:tcMar>
              <w:top w:w="0" w:type="dxa"/>
              <w:bottom w:w="0" w:type="dxa"/>
            </w:tcMar>
            <w:vAlign w:val="center"/>
          </w:tcPr>
          <w:p w14:paraId="553B1D06" w14:textId="77777777" w:rsidR="00AE37FA" w:rsidRDefault="00600A94">
            <w:pPr>
              <w:keepNext/>
              <w:keepLines/>
              <w:spacing w:after="0" w:line="240" w:lineRule="auto"/>
              <w:jc w:val="right"/>
            </w:pPr>
            <w:r>
              <w:rPr>
                <w:b/>
                <w:sz w:val="18"/>
              </w:rPr>
              <w:t>0,00</w:t>
            </w:r>
          </w:p>
        </w:tc>
        <w:tc>
          <w:tcPr>
            <w:tcW w:w="1860" w:type="dxa"/>
            <w:tcMar>
              <w:top w:w="0" w:type="dxa"/>
              <w:bottom w:w="0" w:type="dxa"/>
            </w:tcMar>
            <w:vAlign w:val="center"/>
          </w:tcPr>
          <w:p w14:paraId="57D560EB" w14:textId="77777777" w:rsidR="00AE37FA" w:rsidRDefault="00600A94">
            <w:pPr>
              <w:keepNext/>
              <w:keepLines/>
              <w:spacing w:after="0" w:line="240" w:lineRule="auto"/>
              <w:jc w:val="right"/>
            </w:pPr>
            <w:r>
              <w:rPr>
                <w:b/>
                <w:sz w:val="18"/>
              </w:rPr>
              <w:t>47.431,88</w:t>
            </w:r>
          </w:p>
        </w:tc>
        <w:tc>
          <w:tcPr>
            <w:tcW w:w="700" w:type="dxa"/>
            <w:tcMar>
              <w:top w:w="0" w:type="dxa"/>
              <w:bottom w:w="0" w:type="dxa"/>
            </w:tcMar>
            <w:vAlign w:val="center"/>
          </w:tcPr>
          <w:p w14:paraId="2FF40D3C" w14:textId="77777777" w:rsidR="00AE37FA" w:rsidRDefault="00600A94">
            <w:pPr>
              <w:keepNext/>
              <w:keepLines/>
              <w:spacing w:after="0" w:line="240" w:lineRule="auto"/>
              <w:jc w:val="right"/>
            </w:pPr>
            <w:r>
              <w:rPr>
                <w:b/>
                <w:sz w:val="18"/>
              </w:rPr>
              <w:t>-</w:t>
            </w:r>
          </w:p>
        </w:tc>
      </w:tr>
      <w:tr w:rsidR="00AE37FA" w14:paraId="6778BFC5" w14:textId="77777777">
        <w:tblPrEx>
          <w:tblCellMar>
            <w:top w:w="0" w:type="dxa"/>
            <w:bottom w:w="0" w:type="dxa"/>
          </w:tblCellMar>
        </w:tblPrEx>
        <w:trPr>
          <w:cantSplit/>
          <w:trHeight w:val="560"/>
        </w:trPr>
        <w:tc>
          <w:tcPr>
            <w:tcW w:w="700" w:type="dxa"/>
            <w:tcMar>
              <w:top w:w="0" w:type="dxa"/>
              <w:bottom w:w="0" w:type="dxa"/>
            </w:tcMar>
            <w:vAlign w:val="center"/>
          </w:tcPr>
          <w:p w14:paraId="359A8162" w14:textId="77777777" w:rsidR="00AE37FA" w:rsidRDefault="00AE37FA">
            <w:pPr>
              <w:keepNext/>
              <w:keepLines/>
              <w:spacing w:after="0" w:line="240" w:lineRule="auto"/>
            </w:pPr>
          </w:p>
        </w:tc>
        <w:tc>
          <w:tcPr>
            <w:tcW w:w="3180" w:type="dxa"/>
            <w:tcMar>
              <w:top w:w="0" w:type="dxa"/>
              <w:bottom w:w="0" w:type="dxa"/>
            </w:tcMar>
            <w:vAlign w:val="center"/>
          </w:tcPr>
          <w:p w14:paraId="03624D7E" w14:textId="77777777" w:rsidR="00AE37FA" w:rsidRDefault="00600A94">
            <w:pPr>
              <w:keepNext/>
              <w:keepLines/>
              <w:spacing w:after="0" w:line="240" w:lineRule="auto"/>
            </w:pPr>
            <w:r>
              <w:rPr>
                <w:b/>
                <w:sz w:val="18"/>
              </w:rPr>
              <w:t>VIŠAK PRIHODA I PRIMITAKA (šifre X678-Y345)</w:t>
            </w:r>
          </w:p>
        </w:tc>
        <w:tc>
          <w:tcPr>
            <w:tcW w:w="700" w:type="dxa"/>
            <w:tcMar>
              <w:top w:w="0" w:type="dxa"/>
              <w:bottom w:w="0" w:type="dxa"/>
            </w:tcMar>
            <w:vAlign w:val="center"/>
          </w:tcPr>
          <w:p w14:paraId="6D4399C9" w14:textId="77777777" w:rsidR="00AE37FA" w:rsidRDefault="00600A94">
            <w:pPr>
              <w:keepNext/>
              <w:keepLines/>
              <w:spacing w:after="0" w:line="240" w:lineRule="auto"/>
            </w:pPr>
            <w:r>
              <w:rPr>
                <w:b/>
                <w:sz w:val="18"/>
              </w:rPr>
              <w:t>X005</w:t>
            </w:r>
          </w:p>
        </w:tc>
        <w:tc>
          <w:tcPr>
            <w:tcW w:w="1860" w:type="dxa"/>
            <w:tcMar>
              <w:top w:w="0" w:type="dxa"/>
              <w:bottom w:w="0" w:type="dxa"/>
            </w:tcMar>
            <w:vAlign w:val="center"/>
          </w:tcPr>
          <w:p w14:paraId="556FAB01" w14:textId="77777777" w:rsidR="00AE37FA" w:rsidRDefault="00600A94">
            <w:pPr>
              <w:keepNext/>
              <w:keepLines/>
              <w:spacing w:after="0" w:line="240" w:lineRule="auto"/>
              <w:jc w:val="right"/>
            </w:pPr>
            <w:r>
              <w:rPr>
                <w:b/>
                <w:sz w:val="18"/>
              </w:rPr>
              <w:t>207.968,45</w:t>
            </w:r>
          </w:p>
        </w:tc>
        <w:tc>
          <w:tcPr>
            <w:tcW w:w="1860" w:type="dxa"/>
            <w:tcMar>
              <w:top w:w="0" w:type="dxa"/>
              <w:bottom w:w="0" w:type="dxa"/>
            </w:tcMar>
            <w:vAlign w:val="center"/>
          </w:tcPr>
          <w:p w14:paraId="38003049" w14:textId="77777777" w:rsidR="00AE37FA" w:rsidRDefault="00600A94">
            <w:pPr>
              <w:keepNext/>
              <w:keepLines/>
              <w:spacing w:after="0" w:line="240" w:lineRule="auto"/>
              <w:jc w:val="right"/>
            </w:pPr>
            <w:r>
              <w:rPr>
                <w:b/>
                <w:sz w:val="18"/>
              </w:rPr>
              <w:t>294.638,16</w:t>
            </w:r>
          </w:p>
        </w:tc>
        <w:tc>
          <w:tcPr>
            <w:tcW w:w="700" w:type="dxa"/>
            <w:tcMar>
              <w:top w:w="0" w:type="dxa"/>
              <w:bottom w:w="0" w:type="dxa"/>
            </w:tcMar>
            <w:vAlign w:val="center"/>
          </w:tcPr>
          <w:p w14:paraId="7A494213" w14:textId="77777777" w:rsidR="00AE37FA" w:rsidRDefault="00600A94">
            <w:pPr>
              <w:keepNext/>
              <w:keepLines/>
              <w:spacing w:after="0" w:line="240" w:lineRule="auto"/>
              <w:jc w:val="right"/>
            </w:pPr>
            <w:r>
              <w:rPr>
                <w:b/>
                <w:sz w:val="18"/>
              </w:rPr>
              <w:t>141,7</w:t>
            </w:r>
          </w:p>
        </w:tc>
      </w:tr>
    </w:tbl>
    <w:p w14:paraId="1E61E5EC" w14:textId="77777777" w:rsidR="00AE37FA" w:rsidRDefault="00AE37FA">
      <w:pPr>
        <w:spacing w:after="0"/>
      </w:pPr>
    </w:p>
    <w:p w14:paraId="2CBE6427" w14:textId="77777777" w:rsidR="00AE37FA" w:rsidRDefault="00600A94">
      <w:r>
        <w:t>Ukupni prihodi i primici Grada Zlatara ostvareni u razdoblju od 1. siječnja od 31. ožujka 2026. godine iznosili su 1.731.007,11 €, odnosno 44,9% ili 536.260,77 € više nego istog razdoblju prethodne 2025. godine. Na rast prihoda poslovanja u promatranom razdoblju najvećim je dijelom utjecalo uvećanje prihoda od poreza na dohodak, prihoda od pomoći izravnanja za decentralizirane funkcije i fiskalnog izravnanja i prihoda od komunalnih doprinosa i naknade. Prihodi od prodaje nefinancijske imovine nisu zabilježe</w:t>
      </w:r>
      <w:r>
        <w:t xml:space="preserve">ni. Ukupni </w:t>
      </w:r>
      <w:r>
        <w:lastRenderedPageBreak/>
        <w:t>rashodi i izdaci su iznosili 1.436.368,95 € što je za 45,6% ili 449.591,06 € više rashoda nego prošle godine. Rashodi poslovanja su rasli, a na to je najviše utjecalo povećanje financijskih rashoda, subvencija trgovačkim društvima, premija osiguranja, rashoda za usluge, ostalih nespomenutih rashoda poslovanja, rashoda za tekuće pomoći gradskim proračunima te rashoda za tekuće donacije. Rashodi za nabavu nefinancijske imovine veći su za 230,4% odnosno 439.560,45 €. Na to je najviše utjecalo poveća</w:t>
      </w:r>
      <w:r>
        <w:t>nje rashoda za poslovne objekte (povećanje od 452.599,10€ u odnosu na isto razdoblje prethodne godine). Ostvaren je višak prihoda i primitaka u iznosu od 294.638,16€. Višak prihoda i primitaka iz prethodnog razdoblja iznosi  433.690,40 €, tako da se u sljedeće razdoblje prenosi višak u iznosu od  728.328,56 €.</w:t>
      </w:r>
    </w:p>
    <w:p w14:paraId="1F1508B5" w14:textId="77777777" w:rsidR="00AE37FA" w:rsidRDefault="00600A94">
      <w:r>
        <w:br/>
      </w:r>
    </w:p>
    <w:p w14:paraId="04FBC7BF" w14:textId="77777777" w:rsidR="00AE37FA" w:rsidRDefault="00600A9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79178C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2AA282"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A930F0"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C74D9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9657D"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74400"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89ACD" w14:textId="77777777" w:rsidR="00AE37FA" w:rsidRDefault="00600A94">
            <w:pPr>
              <w:keepNext/>
              <w:keepLines/>
              <w:spacing w:after="0" w:line="240" w:lineRule="auto"/>
              <w:jc w:val="center"/>
            </w:pPr>
            <w:r>
              <w:rPr>
                <w:b/>
                <w:sz w:val="18"/>
              </w:rPr>
              <w:t>Indeks (%)</w:t>
            </w:r>
          </w:p>
        </w:tc>
      </w:tr>
      <w:tr w:rsidR="00AE37FA" w14:paraId="3E1C317A" w14:textId="77777777">
        <w:tblPrEx>
          <w:tblCellMar>
            <w:top w:w="0" w:type="dxa"/>
            <w:bottom w:w="0" w:type="dxa"/>
          </w:tblCellMar>
        </w:tblPrEx>
        <w:trPr>
          <w:cantSplit/>
          <w:trHeight w:val="560"/>
        </w:trPr>
        <w:tc>
          <w:tcPr>
            <w:tcW w:w="700" w:type="dxa"/>
            <w:tcMar>
              <w:top w:w="0" w:type="dxa"/>
              <w:bottom w:w="0" w:type="dxa"/>
            </w:tcMar>
            <w:vAlign w:val="center"/>
          </w:tcPr>
          <w:p w14:paraId="177234C5" w14:textId="77777777" w:rsidR="00AE37FA" w:rsidRDefault="00600A94">
            <w:pPr>
              <w:keepNext/>
              <w:keepLines/>
              <w:spacing w:after="0" w:line="240" w:lineRule="auto"/>
            </w:pPr>
            <w:r>
              <w:rPr>
                <w:sz w:val="18"/>
              </w:rPr>
              <w:t>6</w:t>
            </w:r>
          </w:p>
        </w:tc>
        <w:tc>
          <w:tcPr>
            <w:tcW w:w="3180" w:type="dxa"/>
            <w:tcMar>
              <w:top w:w="0" w:type="dxa"/>
              <w:bottom w:w="0" w:type="dxa"/>
            </w:tcMar>
            <w:vAlign w:val="center"/>
          </w:tcPr>
          <w:p w14:paraId="135F2C08" w14:textId="77777777" w:rsidR="00AE37FA" w:rsidRDefault="00600A94">
            <w:pPr>
              <w:keepNext/>
              <w:keepLines/>
              <w:spacing w:after="0" w:line="240" w:lineRule="auto"/>
            </w:pPr>
            <w:r>
              <w:rPr>
                <w:sz w:val="18"/>
              </w:rPr>
              <w:t>PRIHODI POSLOVANJA (šifre 61+62+63+64+65+66+67+68)</w:t>
            </w:r>
          </w:p>
        </w:tc>
        <w:tc>
          <w:tcPr>
            <w:tcW w:w="700" w:type="dxa"/>
            <w:tcMar>
              <w:top w:w="0" w:type="dxa"/>
              <w:bottom w:w="0" w:type="dxa"/>
            </w:tcMar>
            <w:vAlign w:val="center"/>
          </w:tcPr>
          <w:p w14:paraId="4528E6CE" w14:textId="77777777" w:rsidR="00AE37FA" w:rsidRDefault="00600A94">
            <w:pPr>
              <w:keepNext/>
              <w:keepLines/>
              <w:spacing w:after="0" w:line="240" w:lineRule="auto"/>
            </w:pPr>
            <w:r>
              <w:rPr>
                <w:sz w:val="18"/>
              </w:rPr>
              <w:t>6</w:t>
            </w:r>
          </w:p>
        </w:tc>
        <w:tc>
          <w:tcPr>
            <w:tcW w:w="1860" w:type="dxa"/>
            <w:tcMar>
              <w:top w:w="0" w:type="dxa"/>
              <w:bottom w:w="0" w:type="dxa"/>
            </w:tcMar>
            <w:vAlign w:val="center"/>
          </w:tcPr>
          <w:p w14:paraId="4D2B33A5" w14:textId="77777777" w:rsidR="00AE37FA" w:rsidRDefault="00600A94">
            <w:pPr>
              <w:keepNext/>
              <w:keepLines/>
              <w:spacing w:after="0" w:line="240" w:lineRule="auto"/>
              <w:jc w:val="right"/>
            </w:pPr>
            <w:r>
              <w:rPr>
                <w:sz w:val="18"/>
              </w:rPr>
              <w:t>1.194.746,34</w:t>
            </w:r>
          </w:p>
        </w:tc>
        <w:tc>
          <w:tcPr>
            <w:tcW w:w="1860" w:type="dxa"/>
            <w:tcMar>
              <w:top w:w="0" w:type="dxa"/>
              <w:bottom w:w="0" w:type="dxa"/>
            </w:tcMar>
            <w:vAlign w:val="center"/>
          </w:tcPr>
          <w:p w14:paraId="0D690D5F" w14:textId="77777777" w:rsidR="00AE37FA" w:rsidRDefault="00600A94">
            <w:pPr>
              <w:keepNext/>
              <w:keepLines/>
              <w:spacing w:after="0" w:line="240" w:lineRule="auto"/>
              <w:jc w:val="right"/>
            </w:pPr>
            <w:r>
              <w:rPr>
                <w:sz w:val="18"/>
              </w:rPr>
              <w:t>1.633.757,80</w:t>
            </w:r>
          </w:p>
        </w:tc>
        <w:tc>
          <w:tcPr>
            <w:tcW w:w="700" w:type="dxa"/>
            <w:tcMar>
              <w:top w:w="0" w:type="dxa"/>
              <w:bottom w:w="0" w:type="dxa"/>
            </w:tcMar>
            <w:vAlign w:val="center"/>
          </w:tcPr>
          <w:p w14:paraId="1232B37B" w14:textId="77777777" w:rsidR="00AE37FA" w:rsidRDefault="00600A94">
            <w:pPr>
              <w:keepNext/>
              <w:keepLines/>
              <w:spacing w:after="0" w:line="240" w:lineRule="auto"/>
              <w:jc w:val="right"/>
            </w:pPr>
            <w:r>
              <w:rPr>
                <w:sz w:val="18"/>
              </w:rPr>
              <w:t>136,7</w:t>
            </w:r>
          </w:p>
        </w:tc>
      </w:tr>
    </w:tbl>
    <w:p w14:paraId="5AA2ED36" w14:textId="77777777" w:rsidR="00AE37FA" w:rsidRDefault="00AE37FA">
      <w:pPr>
        <w:spacing w:after="0"/>
      </w:pPr>
    </w:p>
    <w:p w14:paraId="37730CEE" w14:textId="77777777" w:rsidR="00AE37FA" w:rsidRDefault="00600A94">
      <w:r>
        <w:t>Prihodi poslovanja Grada Zlatara ostvareni u razdoblju od 1. siječnja od 31. ožujka 2026. godine iznosili su 1.633.757,80 €, odnosno 36,7% ili 439.011,46 € više nego prethodne 2025. godine. Na rast prihoda poslovanja u promatranom razdoblju najvećim je dijelom utjecalo uvećanje prihoda od poreza na dohodak, prihoda od pomoći izravnanja za decentralizirane funkcije i fiskalnog izravnanja i prihoda od komunalnih doprinosa i naknade.</w:t>
      </w:r>
    </w:p>
    <w:p w14:paraId="53C3D7E8" w14:textId="77777777" w:rsidR="00AE37FA" w:rsidRDefault="00AE37FA"/>
    <w:p w14:paraId="1B3ECA22" w14:textId="77777777" w:rsidR="00AE37FA" w:rsidRDefault="00600A9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069C43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DD2E93"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50AE66"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3F2F3C"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3E2C5"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1F6E78"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DDAF56" w14:textId="77777777" w:rsidR="00AE37FA" w:rsidRDefault="00600A94">
            <w:pPr>
              <w:keepNext/>
              <w:keepLines/>
              <w:spacing w:after="0" w:line="240" w:lineRule="auto"/>
              <w:jc w:val="center"/>
            </w:pPr>
            <w:r>
              <w:rPr>
                <w:b/>
                <w:sz w:val="18"/>
              </w:rPr>
              <w:t>Indeks (%)</w:t>
            </w:r>
          </w:p>
        </w:tc>
      </w:tr>
      <w:tr w:rsidR="00AE37FA" w14:paraId="46AFBF0C" w14:textId="77777777">
        <w:tblPrEx>
          <w:tblCellMar>
            <w:top w:w="0" w:type="dxa"/>
            <w:bottom w:w="0" w:type="dxa"/>
          </w:tblCellMar>
        </w:tblPrEx>
        <w:trPr>
          <w:cantSplit/>
          <w:trHeight w:val="560"/>
        </w:trPr>
        <w:tc>
          <w:tcPr>
            <w:tcW w:w="700" w:type="dxa"/>
            <w:tcMar>
              <w:top w:w="0" w:type="dxa"/>
              <w:bottom w:w="0" w:type="dxa"/>
            </w:tcMar>
            <w:vAlign w:val="center"/>
          </w:tcPr>
          <w:p w14:paraId="33D61D07" w14:textId="77777777" w:rsidR="00AE37FA" w:rsidRDefault="00600A94">
            <w:pPr>
              <w:keepNext/>
              <w:keepLines/>
              <w:spacing w:after="0" w:line="240" w:lineRule="auto"/>
            </w:pPr>
            <w:r>
              <w:rPr>
                <w:sz w:val="18"/>
              </w:rPr>
              <w:t>611</w:t>
            </w:r>
          </w:p>
        </w:tc>
        <w:tc>
          <w:tcPr>
            <w:tcW w:w="3180" w:type="dxa"/>
            <w:tcMar>
              <w:top w:w="0" w:type="dxa"/>
              <w:bottom w:w="0" w:type="dxa"/>
            </w:tcMar>
            <w:vAlign w:val="center"/>
          </w:tcPr>
          <w:p w14:paraId="382470BB" w14:textId="77777777" w:rsidR="00AE37FA" w:rsidRDefault="00600A94">
            <w:pPr>
              <w:keepNext/>
              <w:keepLines/>
              <w:spacing w:after="0" w:line="240" w:lineRule="auto"/>
            </w:pPr>
            <w:r>
              <w:rPr>
                <w:sz w:val="18"/>
              </w:rPr>
              <w:t>Porez na dohodak (šifre 6111 do 6116 - 6117 - 6119)</w:t>
            </w:r>
          </w:p>
        </w:tc>
        <w:tc>
          <w:tcPr>
            <w:tcW w:w="700" w:type="dxa"/>
            <w:tcMar>
              <w:top w:w="0" w:type="dxa"/>
              <w:bottom w:w="0" w:type="dxa"/>
            </w:tcMar>
            <w:vAlign w:val="center"/>
          </w:tcPr>
          <w:p w14:paraId="690591F1" w14:textId="77777777" w:rsidR="00AE37FA" w:rsidRDefault="00600A94">
            <w:pPr>
              <w:keepNext/>
              <w:keepLines/>
              <w:spacing w:after="0" w:line="240" w:lineRule="auto"/>
            </w:pPr>
            <w:r>
              <w:rPr>
                <w:sz w:val="18"/>
              </w:rPr>
              <w:t>611</w:t>
            </w:r>
          </w:p>
        </w:tc>
        <w:tc>
          <w:tcPr>
            <w:tcW w:w="1860" w:type="dxa"/>
            <w:tcMar>
              <w:top w:w="0" w:type="dxa"/>
              <w:bottom w:w="0" w:type="dxa"/>
            </w:tcMar>
            <w:vAlign w:val="center"/>
          </w:tcPr>
          <w:p w14:paraId="15BCCCDB" w14:textId="77777777" w:rsidR="00AE37FA" w:rsidRDefault="00600A94">
            <w:pPr>
              <w:keepNext/>
              <w:keepLines/>
              <w:spacing w:after="0" w:line="240" w:lineRule="auto"/>
              <w:jc w:val="right"/>
            </w:pPr>
            <w:r>
              <w:rPr>
                <w:sz w:val="18"/>
              </w:rPr>
              <w:t>819.099,62</w:t>
            </w:r>
          </w:p>
        </w:tc>
        <w:tc>
          <w:tcPr>
            <w:tcW w:w="1860" w:type="dxa"/>
            <w:tcMar>
              <w:top w:w="0" w:type="dxa"/>
              <w:bottom w:w="0" w:type="dxa"/>
            </w:tcMar>
            <w:vAlign w:val="center"/>
          </w:tcPr>
          <w:p w14:paraId="070B9C2B" w14:textId="77777777" w:rsidR="00AE37FA" w:rsidRDefault="00600A94">
            <w:pPr>
              <w:keepNext/>
              <w:keepLines/>
              <w:spacing w:after="0" w:line="240" w:lineRule="auto"/>
              <w:jc w:val="right"/>
            </w:pPr>
            <w:r>
              <w:rPr>
                <w:sz w:val="18"/>
              </w:rPr>
              <w:t>962.288,09</w:t>
            </w:r>
          </w:p>
        </w:tc>
        <w:tc>
          <w:tcPr>
            <w:tcW w:w="700" w:type="dxa"/>
            <w:tcMar>
              <w:top w:w="0" w:type="dxa"/>
              <w:bottom w:w="0" w:type="dxa"/>
            </w:tcMar>
            <w:vAlign w:val="center"/>
          </w:tcPr>
          <w:p w14:paraId="6372D059" w14:textId="77777777" w:rsidR="00AE37FA" w:rsidRDefault="00600A94">
            <w:pPr>
              <w:keepNext/>
              <w:keepLines/>
              <w:spacing w:after="0" w:line="240" w:lineRule="auto"/>
              <w:jc w:val="right"/>
            </w:pPr>
            <w:r>
              <w:rPr>
                <w:sz w:val="18"/>
              </w:rPr>
              <w:t>117,5</w:t>
            </w:r>
          </w:p>
        </w:tc>
      </w:tr>
    </w:tbl>
    <w:p w14:paraId="5F410B98" w14:textId="77777777" w:rsidR="00AE37FA" w:rsidRDefault="00AE37FA">
      <w:pPr>
        <w:spacing w:after="0"/>
      </w:pPr>
    </w:p>
    <w:p w14:paraId="5D66B70F" w14:textId="77777777" w:rsidR="00AE37FA" w:rsidRDefault="00600A94">
      <w:r>
        <w:t>Prihodi od poreza na dohodak u razdoblju od 1. siječnja do 31. ožujka 2026. godine ostvareni su u iznosu od 962.288,09 €, odnosno 17,50 % ili 143.188,47 € više u odnosu na iste prihode ostvarene u promatranom razdoblju 2025. godine.</w:t>
      </w:r>
    </w:p>
    <w:p w14:paraId="4889A96B" w14:textId="77777777" w:rsidR="00AE37FA" w:rsidRDefault="00AE37FA"/>
    <w:p w14:paraId="64354815" w14:textId="77777777" w:rsidR="00AE37FA" w:rsidRDefault="00600A94">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090048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1B4224"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C54A3B"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D6352"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808DE"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922CF"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94A32" w14:textId="77777777" w:rsidR="00AE37FA" w:rsidRDefault="00600A94">
            <w:pPr>
              <w:keepNext/>
              <w:keepLines/>
              <w:spacing w:after="0" w:line="240" w:lineRule="auto"/>
              <w:jc w:val="center"/>
            </w:pPr>
            <w:r>
              <w:rPr>
                <w:b/>
                <w:sz w:val="18"/>
              </w:rPr>
              <w:t>Indeks (%)</w:t>
            </w:r>
          </w:p>
        </w:tc>
      </w:tr>
      <w:tr w:rsidR="00AE37FA" w14:paraId="54C5DA62" w14:textId="77777777">
        <w:tblPrEx>
          <w:tblCellMar>
            <w:top w:w="0" w:type="dxa"/>
            <w:bottom w:w="0" w:type="dxa"/>
          </w:tblCellMar>
        </w:tblPrEx>
        <w:trPr>
          <w:cantSplit/>
          <w:trHeight w:val="560"/>
        </w:trPr>
        <w:tc>
          <w:tcPr>
            <w:tcW w:w="700" w:type="dxa"/>
            <w:tcMar>
              <w:top w:w="0" w:type="dxa"/>
              <w:bottom w:w="0" w:type="dxa"/>
            </w:tcMar>
            <w:vAlign w:val="center"/>
          </w:tcPr>
          <w:p w14:paraId="6AF170C3" w14:textId="77777777" w:rsidR="00AE37FA" w:rsidRDefault="00600A94">
            <w:pPr>
              <w:keepNext/>
              <w:keepLines/>
              <w:spacing w:after="0" w:line="240" w:lineRule="auto"/>
            </w:pPr>
            <w:r>
              <w:rPr>
                <w:sz w:val="18"/>
              </w:rPr>
              <w:t>613</w:t>
            </w:r>
          </w:p>
        </w:tc>
        <w:tc>
          <w:tcPr>
            <w:tcW w:w="3180" w:type="dxa"/>
            <w:tcMar>
              <w:top w:w="0" w:type="dxa"/>
              <w:bottom w:w="0" w:type="dxa"/>
            </w:tcMar>
            <w:vAlign w:val="center"/>
          </w:tcPr>
          <w:p w14:paraId="4B7FC719" w14:textId="77777777" w:rsidR="00AE37FA" w:rsidRDefault="00600A94">
            <w:pPr>
              <w:keepNext/>
              <w:keepLines/>
              <w:spacing w:after="0" w:line="240" w:lineRule="auto"/>
            </w:pPr>
            <w:r>
              <w:rPr>
                <w:sz w:val="18"/>
              </w:rPr>
              <w:t>Porezi na imovinu (šifre 6131 do 6135)</w:t>
            </w:r>
          </w:p>
        </w:tc>
        <w:tc>
          <w:tcPr>
            <w:tcW w:w="700" w:type="dxa"/>
            <w:tcMar>
              <w:top w:w="0" w:type="dxa"/>
              <w:bottom w:w="0" w:type="dxa"/>
            </w:tcMar>
            <w:vAlign w:val="center"/>
          </w:tcPr>
          <w:p w14:paraId="0005F768" w14:textId="77777777" w:rsidR="00AE37FA" w:rsidRDefault="00600A94">
            <w:pPr>
              <w:keepNext/>
              <w:keepLines/>
              <w:spacing w:after="0" w:line="240" w:lineRule="auto"/>
            </w:pPr>
            <w:r>
              <w:rPr>
                <w:sz w:val="18"/>
              </w:rPr>
              <w:t>613</w:t>
            </w:r>
          </w:p>
        </w:tc>
        <w:tc>
          <w:tcPr>
            <w:tcW w:w="1860" w:type="dxa"/>
            <w:tcMar>
              <w:top w:w="0" w:type="dxa"/>
              <w:bottom w:w="0" w:type="dxa"/>
            </w:tcMar>
            <w:vAlign w:val="center"/>
          </w:tcPr>
          <w:p w14:paraId="7FF104C7" w14:textId="77777777" w:rsidR="00AE37FA" w:rsidRDefault="00600A94">
            <w:pPr>
              <w:keepNext/>
              <w:keepLines/>
              <w:spacing w:after="0" w:line="240" w:lineRule="auto"/>
              <w:jc w:val="right"/>
            </w:pPr>
            <w:r>
              <w:rPr>
                <w:sz w:val="18"/>
              </w:rPr>
              <w:t>17.801,63</w:t>
            </w:r>
          </w:p>
        </w:tc>
        <w:tc>
          <w:tcPr>
            <w:tcW w:w="1860" w:type="dxa"/>
            <w:tcMar>
              <w:top w:w="0" w:type="dxa"/>
              <w:bottom w:w="0" w:type="dxa"/>
            </w:tcMar>
            <w:vAlign w:val="center"/>
          </w:tcPr>
          <w:p w14:paraId="5C5148BE" w14:textId="77777777" w:rsidR="00AE37FA" w:rsidRDefault="00600A94">
            <w:pPr>
              <w:keepNext/>
              <w:keepLines/>
              <w:spacing w:after="0" w:line="240" w:lineRule="auto"/>
              <w:jc w:val="right"/>
            </w:pPr>
            <w:r>
              <w:rPr>
                <w:sz w:val="18"/>
              </w:rPr>
              <w:t>35.372,95</w:t>
            </w:r>
          </w:p>
        </w:tc>
        <w:tc>
          <w:tcPr>
            <w:tcW w:w="700" w:type="dxa"/>
            <w:tcMar>
              <w:top w:w="0" w:type="dxa"/>
              <w:bottom w:w="0" w:type="dxa"/>
            </w:tcMar>
            <w:vAlign w:val="center"/>
          </w:tcPr>
          <w:p w14:paraId="356091CB" w14:textId="77777777" w:rsidR="00AE37FA" w:rsidRDefault="00600A94">
            <w:pPr>
              <w:keepNext/>
              <w:keepLines/>
              <w:spacing w:after="0" w:line="240" w:lineRule="auto"/>
              <w:jc w:val="right"/>
            </w:pPr>
            <w:r>
              <w:rPr>
                <w:sz w:val="18"/>
              </w:rPr>
              <w:t>198,7</w:t>
            </w:r>
          </w:p>
        </w:tc>
      </w:tr>
    </w:tbl>
    <w:p w14:paraId="4557BFF0" w14:textId="77777777" w:rsidR="00AE37FA" w:rsidRDefault="00AE37FA">
      <w:pPr>
        <w:spacing w:after="0"/>
      </w:pPr>
    </w:p>
    <w:p w14:paraId="526B27F6" w14:textId="77777777" w:rsidR="00AE37FA" w:rsidRDefault="00600A94">
      <w:r>
        <w:t>Prihodi od poreza na imovinu u razdoblju od 01. siječnja do 31. ožujka 2026. ostvareni su u iznosu od 35.372,95€, odnosno 98,7% ili 17.571,32€ više u odnosu na iste prihode ostvarene u promatranom razdoblju 2025. godine. Na rast poreza na imovinu najviše je utjecalo povećanje trgovanja nekretninama na području Grada Zlatara te samim time i povećanje prihoda od poreza na promet nekretnina.</w:t>
      </w:r>
    </w:p>
    <w:p w14:paraId="73E8F709" w14:textId="77777777" w:rsidR="00AE37FA" w:rsidRDefault="00AE37FA"/>
    <w:p w14:paraId="4B59F8F9" w14:textId="77777777" w:rsidR="00AE37FA" w:rsidRDefault="00600A9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58D3A8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14717"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12702"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22F8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6F411"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DDA5D"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EEDBF" w14:textId="77777777" w:rsidR="00AE37FA" w:rsidRDefault="00600A94">
            <w:pPr>
              <w:keepNext/>
              <w:keepLines/>
              <w:spacing w:after="0" w:line="240" w:lineRule="auto"/>
              <w:jc w:val="center"/>
            </w:pPr>
            <w:r>
              <w:rPr>
                <w:b/>
                <w:sz w:val="18"/>
              </w:rPr>
              <w:t>Indeks (%)</w:t>
            </w:r>
          </w:p>
        </w:tc>
      </w:tr>
      <w:tr w:rsidR="00AE37FA" w14:paraId="7CD2462E" w14:textId="77777777">
        <w:tblPrEx>
          <w:tblCellMar>
            <w:top w:w="0" w:type="dxa"/>
            <w:bottom w:w="0" w:type="dxa"/>
          </w:tblCellMar>
        </w:tblPrEx>
        <w:trPr>
          <w:cantSplit/>
          <w:trHeight w:val="560"/>
        </w:trPr>
        <w:tc>
          <w:tcPr>
            <w:tcW w:w="700" w:type="dxa"/>
            <w:tcMar>
              <w:top w:w="0" w:type="dxa"/>
              <w:bottom w:w="0" w:type="dxa"/>
            </w:tcMar>
            <w:vAlign w:val="center"/>
          </w:tcPr>
          <w:p w14:paraId="4AFD55D8" w14:textId="77777777" w:rsidR="00AE37FA" w:rsidRDefault="00600A94">
            <w:pPr>
              <w:keepNext/>
              <w:keepLines/>
              <w:spacing w:after="0" w:line="240" w:lineRule="auto"/>
            </w:pPr>
            <w:r>
              <w:rPr>
                <w:sz w:val="18"/>
              </w:rPr>
              <w:t>614</w:t>
            </w:r>
          </w:p>
        </w:tc>
        <w:tc>
          <w:tcPr>
            <w:tcW w:w="3180" w:type="dxa"/>
            <w:tcMar>
              <w:top w:w="0" w:type="dxa"/>
              <w:bottom w:w="0" w:type="dxa"/>
            </w:tcMar>
            <w:vAlign w:val="center"/>
          </w:tcPr>
          <w:p w14:paraId="73D30A9E" w14:textId="77777777" w:rsidR="00AE37FA" w:rsidRDefault="00600A94">
            <w:pPr>
              <w:keepNext/>
              <w:keepLines/>
              <w:spacing w:after="0" w:line="240" w:lineRule="auto"/>
            </w:pPr>
            <w:r>
              <w:rPr>
                <w:sz w:val="18"/>
              </w:rPr>
              <w:t>Porezi na robu i usluge (šifre 6141 do 61476148)</w:t>
            </w:r>
          </w:p>
        </w:tc>
        <w:tc>
          <w:tcPr>
            <w:tcW w:w="700" w:type="dxa"/>
            <w:tcMar>
              <w:top w:w="0" w:type="dxa"/>
              <w:bottom w:w="0" w:type="dxa"/>
            </w:tcMar>
            <w:vAlign w:val="center"/>
          </w:tcPr>
          <w:p w14:paraId="024B56B9" w14:textId="77777777" w:rsidR="00AE37FA" w:rsidRDefault="00600A94">
            <w:pPr>
              <w:keepNext/>
              <w:keepLines/>
              <w:spacing w:after="0" w:line="240" w:lineRule="auto"/>
            </w:pPr>
            <w:r>
              <w:rPr>
                <w:sz w:val="18"/>
              </w:rPr>
              <w:t>614</w:t>
            </w:r>
          </w:p>
        </w:tc>
        <w:tc>
          <w:tcPr>
            <w:tcW w:w="1860" w:type="dxa"/>
            <w:tcMar>
              <w:top w:w="0" w:type="dxa"/>
              <w:bottom w:w="0" w:type="dxa"/>
            </w:tcMar>
            <w:vAlign w:val="center"/>
          </w:tcPr>
          <w:p w14:paraId="1F4AAC7C" w14:textId="77777777" w:rsidR="00AE37FA" w:rsidRDefault="00600A94">
            <w:pPr>
              <w:keepNext/>
              <w:keepLines/>
              <w:spacing w:after="0" w:line="240" w:lineRule="auto"/>
              <w:jc w:val="right"/>
            </w:pPr>
            <w:r>
              <w:rPr>
                <w:sz w:val="18"/>
              </w:rPr>
              <w:t>4.681,04</w:t>
            </w:r>
          </w:p>
        </w:tc>
        <w:tc>
          <w:tcPr>
            <w:tcW w:w="1860" w:type="dxa"/>
            <w:tcMar>
              <w:top w:w="0" w:type="dxa"/>
              <w:bottom w:w="0" w:type="dxa"/>
            </w:tcMar>
            <w:vAlign w:val="center"/>
          </w:tcPr>
          <w:p w14:paraId="0EC7CA26" w14:textId="77777777" w:rsidR="00AE37FA" w:rsidRDefault="00600A94">
            <w:pPr>
              <w:keepNext/>
              <w:keepLines/>
              <w:spacing w:after="0" w:line="240" w:lineRule="auto"/>
              <w:jc w:val="right"/>
            </w:pPr>
            <w:r>
              <w:rPr>
                <w:sz w:val="18"/>
              </w:rPr>
              <w:t>4.865,47</w:t>
            </w:r>
          </w:p>
        </w:tc>
        <w:tc>
          <w:tcPr>
            <w:tcW w:w="700" w:type="dxa"/>
            <w:tcMar>
              <w:top w:w="0" w:type="dxa"/>
              <w:bottom w:w="0" w:type="dxa"/>
            </w:tcMar>
            <w:vAlign w:val="center"/>
          </w:tcPr>
          <w:p w14:paraId="21A2C7A8" w14:textId="77777777" w:rsidR="00AE37FA" w:rsidRDefault="00600A94">
            <w:pPr>
              <w:keepNext/>
              <w:keepLines/>
              <w:spacing w:after="0" w:line="240" w:lineRule="auto"/>
              <w:jc w:val="right"/>
            </w:pPr>
            <w:r>
              <w:rPr>
                <w:sz w:val="18"/>
              </w:rPr>
              <w:t>103,9</w:t>
            </w:r>
          </w:p>
        </w:tc>
      </w:tr>
    </w:tbl>
    <w:p w14:paraId="29DB3DDC" w14:textId="77777777" w:rsidR="00AE37FA" w:rsidRDefault="00AE37FA">
      <w:pPr>
        <w:spacing w:after="0"/>
      </w:pPr>
    </w:p>
    <w:p w14:paraId="5AE0F12B" w14:textId="77777777" w:rsidR="00AE37FA" w:rsidRDefault="00600A94">
      <w:r>
        <w:t>Prihodi od poreza na robu i usluge u razdoblju od 01. siječnja do 31. ožujka 2026.  godine ostvareni su u iznosu od 4.865,47 €, odnosno 3,9 % više u odnosu na iste prihode ostvarene u promatranom razdoblju 2025. godine. Na povećanje prihoda od poreza na robu i usluge utjecalo je povećanje prihoda od poreza na promet tj. povećanje poreza na potrošnju alkoholnih i bezalkoholnih pića.</w:t>
      </w:r>
    </w:p>
    <w:p w14:paraId="0290ED12" w14:textId="77777777" w:rsidR="00AE37FA" w:rsidRDefault="00AE37FA"/>
    <w:p w14:paraId="0CE374FA" w14:textId="77777777" w:rsidR="00AE37FA" w:rsidRDefault="00600A9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6718C7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0B5F76"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9E4AA"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5F7D1"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2110B8"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B1A83"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851239" w14:textId="77777777" w:rsidR="00AE37FA" w:rsidRDefault="00600A94">
            <w:pPr>
              <w:keepNext/>
              <w:keepLines/>
              <w:spacing w:after="0" w:line="240" w:lineRule="auto"/>
              <w:jc w:val="center"/>
            </w:pPr>
            <w:r>
              <w:rPr>
                <w:b/>
                <w:sz w:val="18"/>
              </w:rPr>
              <w:t>Indeks (%)</w:t>
            </w:r>
          </w:p>
        </w:tc>
      </w:tr>
      <w:tr w:rsidR="00AE37FA" w14:paraId="0E88BEEE" w14:textId="77777777">
        <w:tblPrEx>
          <w:tblCellMar>
            <w:top w:w="0" w:type="dxa"/>
            <w:bottom w:w="0" w:type="dxa"/>
          </w:tblCellMar>
        </w:tblPrEx>
        <w:trPr>
          <w:cantSplit/>
          <w:trHeight w:val="560"/>
        </w:trPr>
        <w:tc>
          <w:tcPr>
            <w:tcW w:w="700" w:type="dxa"/>
            <w:tcMar>
              <w:top w:w="0" w:type="dxa"/>
              <w:bottom w:w="0" w:type="dxa"/>
            </w:tcMar>
            <w:vAlign w:val="center"/>
          </w:tcPr>
          <w:p w14:paraId="3CA2064C" w14:textId="77777777" w:rsidR="00AE37FA" w:rsidRDefault="00600A94">
            <w:pPr>
              <w:keepNext/>
              <w:keepLines/>
              <w:spacing w:after="0" w:line="240" w:lineRule="auto"/>
            </w:pPr>
            <w:r>
              <w:rPr>
                <w:sz w:val="18"/>
              </w:rPr>
              <w:t>633</w:t>
            </w:r>
          </w:p>
        </w:tc>
        <w:tc>
          <w:tcPr>
            <w:tcW w:w="3180" w:type="dxa"/>
            <w:tcMar>
              <w:top w:w="0" w:type="dxa"/>
              <w:bottom w:w="0" w:type="dxa"/>
            </w:tcMar>
            <w:vAlign w:val="center"/>
          </w:tcPr>
          <w:p w14:paraId="2ED87617" w14:textId="77777777" w:rsidR="00AE37FA" w:rsidRDefault="00600A94">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1371A16" w14:textId="77777777" w:rsidR="00AE37FA" w:rsidRDefault="00600A94">
            <w:pPr>
              <w:keepNext/>
              <w:keepLines/>
              <w:spacing w:after="0" w:line="240" w:lineRule="auto"/>
            </w:pPr>
            <w:r>
              <w:rPr>
                <w:sz w:val="18"/>
              </w:rPr>
              <w:t>633</w:t>
            </w:r>
          </w:p>
        </w:tc>
        <w:tc>
          <w:tcPr>
            <w:tcW w:w="1860" w:type="dxa"/>
            <w:tcMar>
              <w:top w:w="0" w:type="dxa"/>
              <w:bottom w:w="0" w:type="dxa"/>
            </w:tcMar>
            <w:vAlign w:val="center"/>
          </w:tcPr>
          <w:p w14:paraId="79F08DA3" w14:textId="77777777" w:rsidR="00AE37FA" w:rsidRDefault="00600A94">
            <w:pPr>
              <w:keepNext/>
              <w:keepLines/>
              <w:spacing w:after="0" w:line="240" w:lineRule="auto"/>
              <w:jc w:val="right"/>
            </w:pPr>
            <w:r>
              <w:rPr>
                <w:sz w:val="18"/>
              </w:rPr>
              <w:t>168.701,64</w:t>
            </w:r>
          </w:p>
        </w:tc>
        <w:tc>
          <w:tcPr>
            <w:tcW w:w="1860" w:type="dxa"/>
            <w:tcMar>
              <w:top w:w="0" w:type="dxa"/>
              <w:bottom w:w="0" w:type="dxa"/>
            </w:tcMar>
            <w:vAlign w:val="center"/>
          </w:tcPr>
          <w:p w14:paraId="1C76A9A4" w14:textId="77777777" w:rsidR="00AE37FA" w:rsidRDefault="00600A94">
            <w:pPr>
              <w:keepNext/>
              <w:keepLines/>
              <w:spacing w:after="0" w:line="240" w:lineRule="auto"/>
              <w:jc w:val="right"/>
            </w:pPr>
            <w:r>
              <w:rPr>
                <w:sz w:val="18"/>
              </w:rPr>
              <w:t>402.787,28</w:t>
            </w:r>
          </w:p>
        </w:tc>
        <w:tc>
          <w:tcPr>
            <w:tcW w:w="700" w:type="dxa"/>
            <w:tcMar>
              <w:top w:w="0" w:type="dxa"/>
              <w:bottom w:w="0" w:type="dxa"/>
            </w:tcMar>
            <w:vAlign w:val="center"/>
          </w:tcPr>
          <w:p w14:paraId="0F56C323" w14:textId="77777777" w:rsidR="00AE37FA" w:rsidRDefault="00600A94">
            <w:pPr>
              <w:keepNext/>
              <w:keepLines/>
              <w:spacing w:after="0" w:line="240" w:lineRule="auto"/>
              <w:jc w:val="right"/>
            </w:pPr>
            <w:r>
              <w:rPr>
                <w:sz w:val="18"/>
              </w:rPr>
              <w:t>238,8</w:t>
            </w:r>
          </w:p>
        </w:tc>
      </w:tr>
    </w:tbl>
    <w:p w14:paraId="2F116031" w14:textId="77777777" w:rsidR="00AE37FA" w:rsidRDefault="00AE37FA">
      <w:pPr>
        <w:spacing w:after="0"/>
      </w:pPr>
    </w:p>
    <w:p w14:paraId="48A40653" w14:textId="77777777" w:rsidR="00AE37FA" w:rsidRDefault="00600A94">
      <w:r>
        <w:t>Prihodi od pomoći proračunu iz drugih proračuna u razdoblju od 01. siječnja do 31. ožujka 2026.  godine ostvareni su u iznosu od 402.787,28 €, odnosno 138,8 % ili 234.085,64 € više u odnosu na prihode od pomoći ostvarene u istom razdoblju 2025. godine. Na rast prihoda od pomoći u promatranom razdoblju najviše je utjecalo povećanje kapitalnih pomoći proračunu i izvanproračunskim korisnicima iz drugih proračuna.</w:t>
      </w:r>
    </w:p>
    <w:p w14:paraId="579385C7" w14:textId="77777777" w:rsidR="00AE37FA" w:rsidRDefault="00AE37FA"/>
    <w:p w14:paraId="51800526" w14:textId="77777777" w:rsidR="00AE37FA" w:rsidRDefault="00600A94">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6E6706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526530"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00A8DE"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B42F7"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4AA03"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9B1C57"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9B1AFC" w14:textId="77777777" w:rsidR="00AE37FA" w:rsidRDefault="00600A94">
            <w:pPr>
              <w:keepNext/>
              <w:keepLines/>
              <w:spacing w:after="0" w:line="240" w:lineRule="auto"/>
              <w:jc w:val="center"/>
            </w:pPr>
            <w:r>
              <w:rPr>
                <w:b/>
                <w:sz w:val="18"/>
              </w:rPr>
              <w:t>Indeks (%)</w:t>
            </w:r>
          </w:p>
        </w:tc>
      </w:tr>
      <w:tr w:rsidR="00AE37FA" w14:paraId="6BE776F6" w14:textId="77777777">
        <w:tblPrEx>
          <w:tblCellMar>
            <w:top w:w="0" w:type="dxa"/>
            <w:bottom w:w="0" w:type="dxa"/>
          </w:tblCellMar>
        </w:tblPrEx>
        <w:trPr>
          <w:cantSplit/>
          <w:trHeight w:val="560"/>
        </w:trPr>
        <w:tc>
          <w:tcPr>
            <w:tcW w:w="700" w:type="dxa"/>
            <w:tcMar>
              <w:top w:w="0" w:type="dxa"/>
              <w:bottom w:w="0" w:type="dxa"/>
            </w:tcMar>
            <w:vAlign w:val="center"/>
          </w:tcPr>
          <w:p w14:paraId="01648A8C" w14:textId="77777777" w:rsidR="00AE37FA" w:rsidRDefault="00600A94">
            <w:pPr>
              <w:keepNext/>
              <w:keepLines/>
              <w:spacing w:after="0" w:line="240" w:lineRule="auto"/>
            </w:pPr>
            <w:r>
              <w:rPr>
                <w:sz w:val="18"/>
              </w:rPr>
              <w:t>635</w:t>
            </w:r>
          </w:p>
        </w:tc>
        <w:tc>
          <w:tcPr>
            <w:tcW w:w="3180" w:type="dxa"/>
            <w:tcMar>
              <w:top w:w="0" w:type="dxa"/>
              <w:bottom w:w="0" w:type="dxa"/>
            </w:tcMar>
            <w:vAlign w:val="center"/>
          </w:tcPr>
          <w:p w14:paraId="0923D822" w14:textId="77777777" w:rsidR="00AE37FA" w:rsidRDefault="00600A94">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3F273777" w14:textId="77777777" w:rsidR="00AE37FA" w:rsidRDefault="00600A94">
            <w:pPr>
              <w:keepNext/>
              <w:keepLines/>
              <w:spacing w:after="0" w:line="240" w:lineRule="auto"/>
            </w:pPr>
            <w:r>
              <w:rPr>
                <w:sz w:val="18"/>
              </w:rPr>
              <w:t>635</w:t>
            </w:r>
          </w:p>
        </w:tc>
        <w:tc>
          <w:tcPr>
            <w:tcW w:w="1860" w:type="dxa"/>
            <w:tcMar>
              <w:top w:w="0" w:type="dxa"/>
              <w:bottom w:w="0" w:type="dxa"/>
            </w:tcMar>
            <w:vAlign w:val="center"/>
          </w:tcPr>
          <w:p w14:paraId="5E87AE87"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163F4E8E" w14:textId="77777777" w:rsidR="00AE37FA" w:rsidRDefault="00600A94">
            <w:pPr>
              <w:keepNext/>
              <w:keepLines/>
              <w:spacing w:after="0" w:line="240" w:lineRule="auto"/>
              <w:jc w:val="right"/>
            </w:pPr>
            <w:r>
              <w:rPr>
                <w:sz w:val="18"/>
              </w:rPr>
              <w:t>173.292,90</w:t>
            </w:r>
          </w:p>
        </w:tc>
        <w:tc>
          <w:tcPr>
            <w:tcW w:w="700" w:type="dxa"/>
            <w:tcMar>
              <w:top w:w="0" w:type="dxa"/>
              <w:bottom w:w="0" w:type="dxa"/>
            </w:tcMar>
            <w:vAlign w:val="center"/>
          </w:tcPr>
          <w:p w14:paraId="15B56B70" w14:textId="77777777" w:rsidR="00AE37FA" w:rsidRDefault="00600A94">
            <w:pPr>
              <w:keepNext/>
              <w:keepLines/>
              <w:spacing w:after="0" w:line="240" w:lineRule="auto"/>
              <w:jc w:val="right"/>
            </w:pPr>
            <w:r>
              <w:rPr>
                <w:sz w:val="18"/>
              </w:rPr>
              <w:t>-</w:t>
            </w:r>
          </w:p>
        </w:tc>
      </w:tr>
    </w:tbl>
    <w:p w14:paraId="29CB9BF4" w14:textId="77777777" w:rsidR="00AE37FA" w:rsidRDefault="00AE37FA">
      <w:pPr>
        <w:spacing w:after="0"/>
      </w:pPr>
    </w:p>
    <w:p w14:paraId="032A985E" w14:textId="77777777" w:rsidR="00AE37FA" w:rsidRDefault="00600A94">
      <w:r>
        <w:t>Prihodi od pomoći izravnanja za decentralizirane funkcije i fiskalnog izravnanja u razdoblju od 01. siječnja do 31. ožujka 2026.  godine ostvareni su u iznosu od 173.292,90 € te nisu bili evidentirani u promatranom razdoblju prethodne 2025. godine. Odnose se na tekuće pomoći izravnanja za decentralizirane funkcije u iznosu od 15.604,23 € te na pomoći fiskalnog izravnanja u iznosu od 157.688,67 €.</w:t>
      </w:r>
    </w:p>
    <w:p w14:paraId="1423EE85" w14:textId="77777777" w:rsidR="00AE37FA" w:rsidRDefault="00AE37FA"/>
    <w:p w14:paraId="418229C7" w14:textId="77777777" w:rsidR="00AE37FA" w:rsidRDefault="00600A9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4354A3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899062"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74D850"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B77AA"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A7F51"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02EFA4"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01650" w14:textId="77777777" w:rsidR="00AE37FA" w:rsidRDefault="00600A94">
            <w:pPr>
              <w:keepNext/>
              <w:keepLines/>
              <w:spacing w:after="0" w:line="240" w:lineRule="auto"/>
              <w:jc w:val="center"/>
            </w:pPr>
            <w:r>
              <w:rPr>
                <w:b/>
                <w:sz w:val="18"/>
              </w:rPr>
              <w:t>Indeks (%)</w:t>
            </w:r>
          </w:p>
        </w:tc>
      </w:tr>
      <w:tr w:rsidR="00AE37FA" w14:paraId="1A801557" w14:textId="77777777">
        <w:tblPrEx>
          <w:tblCellMar>
            <w:top w:w="0" w:type="dxa"/>
            <w:bottom w:w="0" w:type="dxa"/>
          </w:tblCellMar>
        </w:tblPrEx>
        <w:trPr>
          <w:cantSplit/>
          <w:trHeight w:val="560"/>
        </w:trPr>
        <w:tc>
          <w:tcPr>
            <w:tcW w:w="700" w:type="dxa"/>
            <w:tcMar>
              <w:top w:w="0" w:type="dxa"/>
              <w:bottom w:w="0" w:type="dxa"/>
            </w:tcMar>
            <w:vAlign w:val="center"/>
          </w:tcPr>
          <w:p w14:paraId="2106A956" w14:textId="77777777" w:rsidR="00AE37FA" w:rsidRDefault="00600A94">
            <w:pPr>
              <w:keepNext/>
              <w:keepLines/>
              <w:spacing w:after="0" w:line="240" w:lineRule="auto"/>
            </w:pPr>
            <w:r>
              <w:rPr>
                <w:sz w:val="18"/>
              </w:rPr>
              <w:t>641</w:t>
            </w:r>
          </w:p>
        </w:tc>
        <w:tc>
          <w:tcPr>
            <w:tcW w:w="3180" w:type="dxa"/>
            <w:tcMar>
              <w:top w:w="0" w:type="dxa"/>
              <w:bottom w:w="0" w:type="dxa"/>
            </w:tcMar>
            <w:vAlign w:val="center"/>
          </w:tcPr>
          <w:p w14:paraId="179B03BD" w14:textId="77777777" w:rsidR="00AE37FA" w:rsidRDefault="00600A94">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30EB25AE" w14:textId="77777777" w:rsidR="00AE37FA" w:rsidRDefault="00600A94">
            <w:pPr>
              <w:keepNext/>
              <w:keepLines/>
              <w:spacing w:after="0" w:line="240" w:lineRule="auto"/>
            </w:pPr>
            <w:r>
              <w:rPr>
                <w:sz w:val="18"/>
              </w:rPr>
              <w:t>641</w:t>
            </w:r>
          </w:p>
        </w:tc>
        <w:tc>
          <w:tcPr>
            <w:tcW w:w="1860" w:type="dxa"/>
            <w:tcMar>
              <w:top w:w="0" w:type="dxa"/>
              <w:bottom w:w="0" w:type="dxa"/>
            </w:tcMar>
            <w:vAlign w:val="center"/>
          </w:tcPr>
          <w:p w14:paraId="48114AA5" w14:textId="77777777" w:rsidR="00AE37FA" w:rsidRDefault="00600A94">
            <w:pPr>
              <w:keepNext/>
              <w:keepLines/>
              <w:spacing w:after="0" w:line="240" w:lineRule="auto"/>
              <w:jc w:val="right"/>
            </w:pPr>
            <w:r>
              <w:rPr>
                <w:sz w:val="18"/>
              </w:rPr>
              <w:t>2,71</w:t>
            </w:r>
          </w:p>
        </w:tc>
        <w:tc>
          <w:tcPr>
            <w:tcW w:w="1860" w:type="dxa"/>
            <w:tcMar>
              <w:top w:w="0" w:type="dxa"/>
              <w:bottom w:w="0" w:type="dxa"/>
            </w:tcMar>
            <w:vAlign w:val="center"/>
          </w:tcPr>
          <w:p w14:paraId="5A696BE3" w14:textId="77777777" w:rsidR="00AE37FA" w:rsidRDefault="00600A94">
            <w:pPr>
              <w:keepNext/>
              <w:keepLines/>
              <w:spacing w:after="0" w:line="240" w:lineRule="auto"/>
              <w:jc w:val="right"/>
            </w:pPr>
            <w:r>
              <w:rPr>
                <w:sz w:val="18"/>
              </w:rPr>
              <w:t>21,25</w:t>
            </w:r>
          </w:p>
        </w:tc>
        <w:tc>
          <w:tcPr>
            <w:tcW w:w="700" w:type="dxa"/>
            <w:tcMar>
              <w:top w:w="0" w:type="dxa"/>
              <w:bottom w:w="0" w:type="dxa"/>
            </w:tcMar>
            <w:vAlign w:val="center"/>
          </w:tcPr>
          <w:p w14:paraId="195CDC67" w14:textId="77777777" w:rsidR="00AE37FA" w:rsidRDefault="00600A94">
            <w:pPr>
              <w:keepNext/>
              <w:keepLines/>
              <w:spacing w:after="0" w:line="240" w:lineRule="auto"/>
              <w:jc w:val="right"/>
            </w:pPr>
            <w:r>
              <w:rPr>
                <w:sz w:val="18"/>
              </w:rPr>
              <w:t>784,1</w:t>
            </w:r>
          </w:p>
        </w:tc>
      </w:tr>
    </w:tbl>
    <w:p w14:paraId="3EBF6DBE" w14:textId="77777777" w:rsidR="00AE37FA" w:rsidRDefault="00AE37FA">
      <w:pPr>
        <w:spacing w:after="0"/>
      </w:pPr>
    </w:p>
    <w:p w14:paraId="50E1E245" w14:textId="77777777" w:rsidR="00AE37FA" w:rsidRDefault="00600A94">
      <w:r>
        <w:t xml:space="preserve">Prihodi od financijske imovine u razdoblju od </w:t>
      </w:r>
      <w:proofErr w:type="spellStart"/>
      <w:r>
        <w:t>od</w:t>
      </w:r>
      <w:proofErr w:type="spellEnd"/>
      <w:r>
        <w:t xml:space="preserve"> 01. siječnja do 31. ožujka 2026.  godine ostvareni su u iznosu od 21,25 €, odnosno 684,1 % ili  18,54 € više nego prethodne 2025. godine, a odnose se na prihode od kamata na oročena sredstva i depozite po te na prihode od zateznih kamata.</w:t>
      </w:r>
    </w:p>
    <w:p w14:paraId="04B25F84" w14:textId="77777777" w:rsidR="00AE37FA" w:rsidRDefault="00AE37FA"/>
    <w:p w14:paraId="4A06F463" w14:textId="77777777" w:rsidR="00AE37FA" w:rsidRDefault="00600A9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1FD27A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A64F7"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6019E4"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E2893"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78D0F"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EB4360"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84AC49" w14:textId="77777777" w:rsidR="00AE37FA" w:rsidRDefault="00600A94">
            <w:pPr>
              <w:keepNext/>
              <w:keepLines/>
              <w:spacing w:after="0" w:line="240" w:lineRule="auto"/>
              <w:jc w:val="center"/>
            </w:pPr>
            <w:r>
              <w:rPr>
                <w:b/>
                <w:sz w:val="18"/>
              </w:rPr>
              <w:t>Indeks (%)</w:t>
            </w:r>
          </w:p>
        </w:tc>
      </w:tr>
      <w:tr w:rsidR="00AE37FA" w14:paraId="7DDACD39" w14:textId="77777777">
        <w:tblPrEx>
          <w:tblCellMar>
            <w:top w:w="0" w:type="dxa"/>
            <w:bottom w:w="0" w:type="dxa"/>
          </w:tblCellMar>
        </w:tblPrEx>
        <w:trPr>
          <w:cantSplit/>
          <w:trHeight w:val="560"/>
        </w:trPr>
        <w:tc>
          <w:tcPr>
            <w:tcW w:w="700" w:type="dxa"/>
            <w:tcMar>
              <w:top w:w="0" w:type="dxa"/>
              <w:bottom w:w="0" w:type="dxa"/>
            </w:tcMar>
            <w:vAlign w:val="center"/>
          </w:tcPr>
          <w:p w14:paraId="68BE2EA3" w14:textId="77777777" w:rsidR="00AE37FA" w:rsidRDefault="00600A94">
            <w:pPr>
              <w:keepNext/>
              <w:keepLines/>
              <w:spacing w:after="0" w:line="240" w:lineRule="auto"/>
            </w:pPr>
            <w:r>
              <w:rPr>
                <w:sz w:val="18"/>
              </w:rPr>
              <w:t>642</w:t>
            </w:r>
          </w:p>
        </w:tc>
        <w:tc>
          <w:tcPr>
            <w:tcW w:w="3180" w:type="dxa"/>
            <w:tcMar>
              <w:top w:w="0" w:type="dxa"/>
              <w:bottom w:w="0" w:type="dxa"/>
            </w:tcMar>
            <w:vAlign w:val="center"/>
          </w:tcPr>
          <w:p w14:paraId="63102271" w14:textId="77777777" w:rsidR="00AE37FA" w:rsidRDefault="00600A94">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D063339" w14:textId="77777777" w:rsidR="00AE37FA" w:rsidRDefault="00600A94">
            <w:pPr>
              <w:keepNext/>
              <w:keepLines/>
              <w:spacing w:after="0" w:line="240" w:lineRule="auto"/>
            </w:pPr>
            <w:r>
              <w:rPr>
                <w:sz w:val="18"/>
              </w:rPr>
              <w:t>642</w:t>
            </w:r>
          </w:p>
        </w:tc>
        <w:tc>
          <w:tcPr>
            <w:tcW w:w="1860" w:type="dxa"/>
            <w:tcMar>
              <w:top w:w="0" w:type="dxa"/>
              <w:bottom w:w="0" w:type="dxa"/>
            </w:tcMar>
            <w:vAlign w:val="center"/>
          </w:tcPr>
          <w:p w14:paraId="71E7FA4E" w14:textId="77777777" w:rsidR="00AE37FA" w:rsidRDefault="00600A94">
            <w:pPr>
              <w:keepNext/>
              <w:keepLines/>
              <w:spacing w:after="0" w:line="240" w:lineRule="auto"/>
              <w:jc w:val="right"/>
            </w:pPr>
            <w:r>
              <w:rPr>
                <w:sz w:val="18"/>
              </w:rPr>
              <w:t>6.817,99</w:t>
            </w:r>
          </w:p>
        </w:tc>
        <w:tc>
          <w:tcPr>
            <w:tcW w:w="1860" w:type="dxa"/>
            <w:tcMar>
              <w:top w:w="0" w:type="dxa"/>
              <w:bottom w:w="0" w:type="dxa"/>
            </w:tcMar>
            <w:vAlign w:val="center"/>
          </w:tcPr>
          <w:p w14:paraId="6B7A720D" w14:textId="77777777" w:rsidR="00AE37FA" w:rsidRDefault="00600A94">
            <w:pPr>
              <w:keepNext/>
              <w:keepLines/>
              <w:spacing w:after="0" w:line="240" w:lineRule="auto"/>
              <w:jc w:val="right"/>
            </w:pPr>
            <w:r>
              <w:rPr>
                <w:sz w:val="18"/>
              </w:rPr>
              <w:t>9.742,33</w:t>
            </w:r>
          </w:p>
        </w:tc>
        <w:tc>
          <w:tcPr>
            <w:tcW w:w="700" w:type="dxa"/>
            <w:tcMar>
              <w:top w:w="0" w:type="dxa"/>
              <w:bottom w:w="0" w:type="dxa"/>
            </w:tcMar>
            <w:vAlign w:val="center"/>
          </w:tcPr>
          <w:p w14:paraId="53765655" w14:textId="77777777" w:rsidR="00AE37FA" w:rsidRDefault="00600A94">
            <w:pPr>
              <w:keepNext/>
              <w:keepLines/>
              <w:spacing w:after="0" w:line="240" w:lineRule="auto"/>
              <w:jc w:val="right"/>
            </w:pPr>
            <w:r>
              <w:rPr>
                <w:sz w:val="18"/>
              </w:rPr>
              <w:t>142,9</w:t>
            </w:r>
          </w:p>
        </w:tc>
      </w:tr>
    </w:tbl>
    <w:p w14:paraId="4DFFF573" w14:textId="77777777" w:rsidR="00AE37FA" w:rsidRDefault="00AE37FA">
      <w:pPr>
        <w:spacing w:after="0"/>
      </w:pPr>
    </w:p>
    <w:p w14:paraId="6F780C6C" w14:textId="77777777" w:rsidR="00AE37FA" w:rsidRDefault="00600A94">
      <w:r>
        <w:t>Prihodi od nefinancijske imovine u razdoblju od 01. siječnja do 31. ožujka 2026.  godine ostvareni su u iznosu od 9.742,33 €, odnosno za 42,9 % više u odnosu na promatrano razdoblje prethodne 2025. godine. Na povećanje prihoda od nefinancijske imovine najviše je utjecalo povećanje prihoda od naknada za koncesije.</w:t>
      </w:r>
    </w:p>
    <w:p w14:paraId="6B818EA8" w14:textId="77777777" w:rsidR="00AE37FA" w:rsidRDefault="00AE37FA"/>
    <w:p w14:paraId="644AB3F2" w14:textId="77777777" w:rsidR="00AE37FA" w:rsidRDefault="00600A94">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0AEB89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E640EE"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55A129"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46C4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B879B"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DE4A01"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9FC94" w14:textId="77777777" w:rsidR="00AE37FA" w:rsidRDefault="00600A94">
            <w:pPr>
              <w:keepNext/>
              <w:keepLines/>
              <w:spacing w:after="0" w:line="240" w:lineRule="auto"/>
              <w:jc w:val="center"/>
            </w:pPr>
            <w:r>
              <w:rPr>
                <w:b/>
                <w:sz w:val="18"/>
              </w:rPr>
              <w:t>Indeks (%)</w:t>
            </w:r>
          </w:p>
        </w:tc>
      </w:tr>
      <w:tr w:rsidR="00AE37FA" w14:paraId="3AB0BFD6" w14:textId="77777777">
        <w:tblPrEx>
          <w:tblCellMar>
            <w:top w:w="0" w:type="dxa"/>
            <w:bottom w:w="0" w:type="dxa"/>
          </w:tblCellMar>
        </w:tblPrEx>
        <w:trPr>
          <w:cantSplit/>
          <w:trHeight w:val="560"/>
        </w:trPr>
        <w:tc>
          <w:tcPr>
            <w:tcW w:w="700" w:type="dxa"/>
            <w:tcMar>
              <w:top w:w="0" w:type="dxa"/>
              <w:bottom w:w="0" w:type="dxa"/>
            </w:tcMar>
            <w:vAlign w:val="center"/>
          </w:tcPr>
          <w:p w14:paraId="08F52538" w14:textId="77777777" w:rsidR="00AE37FA" w:rsidRDefault="00600A94">
            <w:pPr>
              <w:keepNext/>
              <w:keepLines/>
              <w:spacing w:after="0" w:line="240" w:lineRule="auto"/>
            </w:pPr>
            <w:r>
              <w:rPr>
                <w:sz w:val="18"/>
              </w:rPr>
              <w:t>652</w:t>
            </w:r>
          </w:p>
        </w:tc>
        <w:tc>
          <w:tcPr>
            <w:tcW w:w="3180" w:type="dxa"/>
            <w:tcMar>
              <w:top w:w="0" w:type="dxa"/>
              <w:bottom w:w="0" w:type="dxa"/>
            </w:tcMar>
            <w:vAlign w:val="center"/>
          </w:tcPr>
          <w:p w14:paraId="3FA18DFD" w14:textId="77777777" w:rsidR="00AE37FA" w:rsidRDefault="00600A94">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3D1090A" w14:textId="77777777" w:rsidR="00AE37FA" w:rsidRDefault="00600A94">
            <w:pPr>
              <w:keepNext/>
              <w:keepLines/>
              <w:spacing w:after="0" w:line="240" w:lineRule="auto"/>
            </w:pPr>
            <w:r>
              <w:rPr>
                <w:sz w:val="18"/>
              </w:rPr>
              <w:t>652</w:t>
            </w:r>
          </w:p>
        </w:tc>
        <w:tc>
          <w:tcPr>
            <w:tcW w:w="1860" w:type="dxa"/>
            <w:tcMar>
              <w:top w:w="0" w:type="dxa"/>
              <w:bottom w:w="0" w:type="dxa"/>
            </w:tcMar>
            <w:vAlign w:val="center"/>
          </w:tcPr>
          <w:p w14:paraId="75548E36" w14:textId="77777777" w:rsidR="00AE37FA" w:rsidRDefault="00600A94">
            <w:pPr>
              <w:keepNext/>
              <w:keepLines/>
              <w:spacing w:after="0" w:line="240" w:lineRule="auto"/>
              <w:jc w:val="right"/>
            </w:pPr>
            <w:r>
              <w:rPr>
                <w:sz w:val="18"/>
              </w:rPr>
              <w:t>25.769,23</w:t>
            </w:r>
          </w:p>
        </w:tc>
        <w:tc>
          <w:tcPr>
            <w:tcW w:w="1860" w:type="dxa"/>
            <w:tcMar>
              <w:top w:w="0" w:type="dxa"/>
              <w:bottom w:w="0" w:type="dxa"/>
            </w:tcMar>
            <w:vAlign w:val="center"/>
          </w:tcPr>
          <w:p w14:paraId="47E095B1" w14:textId="77777777" w:rsidR="00AE37FA" w:rsidRDefault="00600A94">
            <w:pPr>
              <w:keepNext/>
              <w:keepLines/>
              <w:spacing w:after="0" w:line="240" w:lineRule="auto"/>
              <w:jc w:val="right"/>
            </w:pPr>
            <w:r>
              <w:rPr>
                <w:sz w:val="18"/>
              </w:rPr>
              <w:t>34.626,76</w:t>
            </w:r>
          </w:p>
        </w:tc>
        <w:tc>
          <w:tcPr>
            <w:tcW w:w="700" w:type="dxa"/>
            <w:tcMar>
              <w:top w:w="0" w:type="dxa"/>
              <w:bottom w:w="0" w:type="dxa"/>
            </w:tcMar>
            <w:vAlign w:val="center"/>
          </w:tcPr>
          <w:p w14:paraId="0DDB8CAF" w14:textId="77777777" w:rsidR="00AE37FA" w:rsidRDefault="00600A94">
            <w:pPr>
              <w:keepNext/>
              <w:keepLines/>
              <w:spacing w:after="0" w:line="240" w:lineRule="auto"/>
              <w:jc w:val="right"/>
            </w:pPr>
            <w:r>
              <w:rPr>
                <w:sz w:val="18"/>
              </w:rPr>
              <w:t>134,4</w:t>
            </w:r>
          </w:p>
        </w:tc>
      </w:tr>
    </w:tbl>
    <w:p w14:paraId="29BC394E" w14:textId="77777777" w:rsidR="00AE37FA" w:rsidRDefault="00AE37FA">
      <w:pPr>
        <w:spacing w:after="0"/>
      </w:pPr>
    </w:p>
    <w:p w14:paraId="34EF2088" w14:textId="77777777" w:rsidR="00AE37FA" w:rsidRDefault="00600A94">
      <w:r>
        <w:t>Prihodi od upravnih i administrativnih pristojbi u razdoblju od 01. siječnja do 31. ožujka 2026.  godine  ostvareni su u iznosu od 34.626,76 €, odnosno  34,4 % više  u odnosu na iste prihode ostvarene u promatranom razdoblju 2025. godine, a odnose se na  povećanje ostalih nespomenutih prihoda.</w:t>
      </w:r>
    </w:p>
    <w:p w14:paraId="54BFC7EA" w14:textId="77777777" w:rsidR="00AE37FA" w:rsidRDefault="00AE37FA"/>
    <w:p w14:paraId="5C6532EC" w14:textId="77777777" w:rsidR="00AE37FA" w:rsidRDefault="00600A9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67F837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5F7C8C"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39E785"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398EE"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EC478"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3F98C"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09546B" w14:textId="77777777" w:rsidR="00AE37FA" w:rsidRDefault="00600A94">
            <w:pPr>
              <w:keepNext/>
              <w:keepLines/>
              <w:spacing w:after="0" w:line="240" w:lineRule="auto"/>
              <w:jc w:val="center"/>
            </w:pPr>
            <w:r>
              <w:rPr>
                <w:b/>
                <w:sz w:val="18"/>
              </w:rPr>
              <w:t>Indeks (%)</w:t>
            </w:r>
          </w:p>
        </w:tc>
      </w:tr>
      <w:tr w:rsidR="00AE37FA" w14:paraId="1A0F8D63" w14:textId="77777777">
        <w:tblPrEx>
          <w:tblCellMar>
            <w:top w:w="0" w:type="dxa"/>
            <w:bottom w:w="0" w:type="dxa"/>
          </w:tblCellMar>
        </w:tblPrEx>
        <w:trPr>
          <w:cantSplit/>
          <w:trHeight w:val="560"/>
        </w:trPr>
        <w:tc>
          <w:tcPr>
            <w:tcW w:w="700" w:type="dxa"/>
            <w:tcMar>
              <w:top w:w="0" w:type="dxa"/>
              <w:bottom w:w="0" w:type="dxa"/>
            </w:tcMar>
            <w:vAlign w:val="center"/>
          </w:tcPr>
          <w:p w14:paraId="386AB7C8" w14:textId="77777777" w:rsidR="00AE37FA" w:rsidRDefault="00600A94">
            <w:pPr>
              <w:keepNext/>
              <w:keepLines/>
              <w:spacing w:after="0" w:line="240" w:lineRule="auto"/>
            </w:pPr>
            <w:r>
              <w:rPr>
                <w:sz w:val="18"/>
              </w:rPr>
              <w:t>653</w:t>
            </w:r>
          </w:p>
        </w:tc>
        <w:tc>
          <w:tcPr>
            <w:tcW w:w="3180" w:type="dxa"/>
            <w:tcMar>
              <w:top w:w="0" w:type="dxa"/>
              <w:bottom w:w="0" w:type="dxa"/>
            </w:tcMar>
            <w:vAlign w:val="center"/>
          </w:tcPr>
          <w:p w14:paraId="71195117" w14:textId="77777777" w:rsidR="00AE37FA" w:rsidRDefault="00600A94">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7348CC99" w14:textId="77777777" w:rsidR="00AE37FA" w:rsidRDefault="00600A94">
            <w:pPr>
              <w:keepNext/>
              <w:keepLines/>
              <w:spacing w:after="0" w:line="240" w:lineRule="auto"/>
            </w:pPr>
            <w:r>
              <w:rPr>
                <w:sz w:val="18"/>
              </w:rPr>
              <w:t>653</w:t>
            </w:r>
          </w:p>
        </w:tc>
        <w:tc>
          <w:tcPr>
            <w:tcW w:w="1860" w:type="dxa"/>
            <w:tcMar>
              <w:top w:w="0" w:type="dxa"/>
              <w:bottom w:w="0" w:type="dxa"/>
            </w:tcMar>
            <w:vAlign w:val="center"/>
          </w:tcPr>
          <w:p w14:paraId="4ADE037D" w14:textId="77777777" w:rsidR="00AE37FA" w:rsidRDefault="00600A94">
            <w:pPr>
              <w:keepNext/>
              <w:keepLines/>
              <w:spacing w:after="0" w:line="240" w:lineRule="auto"/>
              <w:jc w:val="right"/>
            </w:pPr>
            <w:r>
              <w:rPr>
                <w:sz w:val="18"/>
              </w:rPr>
              <w:t>7.196,55</w:t>
            </w:r>
          </w:p>
        </w:tc>
        <w:tc>
          <w:tcPr>
            <w:tcW w:w="1860" w:type="dxa"/>
            <w:tcMar>
              <w:top w:w="0" w:type="dxa"/>
              <w:bottom w:w="0" w:type="dxa"/>
            </w:tcMar>
            <w:vAlign w:val="center"/>
          </w:tcPr>
          <w:p w14:paraId="4238C0A1" w14:textId="77777777" w:rsidR="00AE37FA" w:rsidRDefault="00600A94">
            <w:pPr>
              <w:keepNext/>
              <w:keepLines/>
              <w:spacing w:after="0" w:line="240" w:lineRule="auto"/>
              <w:jc w:val="right"/>
            </w:pPr>
            <w:r>
              <w:rPr>
                <w:sz w:val="18"/>
              </w:rPr>
              <w:t>10.666,37</w:t>
            </w:r>
          </w:p>
        </w:tc>
        <w:tc>
          <w:tcPr>
            <w:tcW w:w="700" w:type="dxa"/>
            <w:tcMar>
              <w:top w:w="0" w:type="dxa"/>
              <w:bottom w:w="0" w:type="dxa"/>
            </w:tcMar>
            <w:vAlign w:val="center"/>
          </w:tcPr>
          <w:p w14:paraId="1642C1C0" w14:textId="77777777" w:rsidR="00AE37FA" w:rsidRDefault="00600A94">
            <w:pPr>
              <w:keepNext/>
              <w:keepLines/>
              <w:spacing w:after="0" w:line="240" w:lineRule="auto"/>
              <w:jc w:val="right"/>
            </w:pPr>
            <w:r>
              <w:rPr>
                <w:sz w:val="18"/>
              </w:rPr>
              <w:t>148,2</w:t>
            </w:r>
          </w:p>
        </w:tc>
      </w:tr>
    </w:tbl>
    <w:p w14:paraId="61AFD000" w14:textId="77777777" w:rsidR="00AE37FA" w:rsidRDefault="00AE37FA">
      <w:pPr>
        <w:spacing w:after="0"/>
      </w:pPr>
    </w:p>
    <w:p w14:paraId="30CB8351" w14:textId="77777777" w:rsidR="00AE37FA" w:rsidRDefault="00600A94">
      <w:r>
        <w:t>Prihodi od komunalnih doprinosa i naknada u razdoblju od 01. siječnja do 31. ožujka 2026.  godine ostvareni su u iznosu  od 10.666,37 €, odnosno 48,20 % više u odnosu na iste prihode ostvarene u promatranom razdoblju 2025. godine. Na povećanje prihoda od komunalnih doprinosa i naknada je utjecalo povećanje prihoda od komunalne naknade (za 80%) te povećanje prihoda od komunalnih doprinosa za 74% u odnosu na promatrano razdoblje 2025. godine.</w:t>
      </w:r>
    </w:p>
    <w:p w14:paraId="0A7982CF" w14:textId="77777777" w:rsidR="00AE37FA" w:rsidRDefault="00AE37FA"/>
    <w:p w14:paraId="729C0481" w14:textId="77777777" w:rsidR="00AE37FA" w:rsidRDefault="00600A9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34B13C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65C9BD"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941AE"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59B13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142C1"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9ADEE6"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5EFE6" w14:textId="77777777" w:rsidR="00AE37FA" w:rsidRDefault="00600A94">
            <w:pPr>
              <w:keepNext/>
              <w:keepLines/>
              <w:spacing w:after="0" w:line="240" w:lineRule="auto"/>
              <w:jc w:val="center"/>
            </w:pPr>
            <w:r>
              <w:rPr>
                <w:b/>
                <w:sz w:val="18"/>
              </w:rPr>
              <w:t>Indeks (%)</w:t>
            </w:r>
          </w:p>
        </w:tc>
      </w:tr>
      <w:tr w:rsidR="00AE37FA" w14:paraId="34E54F79" w14:textId="77777777">
        <w:tblPrEx>
          <w:tblCellMar>
            <w:top w:w="0" w:type="dxa"/>
            <w:bottom w:w="0" w:type="dxa"/>
          </w:tblCellMar>
        </w:tblPrEx>
        <w:trPr>
          <w:cantSplit/>
          <w:trHeight w:val="560"/>
        </w:trPr>
        <w:tc>
          <w:tcPr>
            <w:tcW w:w="700" w:type="dxa"/>
            <w:tcMar>
              <w:top w:w="0" w:type="dxa"/>
              <w:bottom w:w="0" w:type="dxa"/>
            </w:tcMar>
            <w:vAlign w:val="center"/>
          </w:tcPr>
          <w:p w14:paraId="0E62FF43" w14:textId="77777777" w:rsidR="00AE37FA" w:rsidRDefault="00600A94">
            <w:pPr>
              <w:keepNext/>
              <w:keepLines/>
              <w:spacing w:after="0" w:line="240" w:lineRule="auto"/>
            </w:pPr>
            <w:r>
              <w:rPr>
                <w:sz w:val="18"/>
              </w:rPr>
              <w:t>3</w:t>
            </w:r>
          </w:p>
        </w:tc>
        <w:tc>
          <w:tcPr>
            <w:tcW w:w="3180" w:type="dxa"/>
            <w:tcMar>
              <w:top w:w="0" w:type="dxa"/>
              <w:bottom w:w="0" w:type="dxa"/>
            </w:tcMar>
            <w:vAlign w:val="center"/>
          </w:tcPr>
          <w:p w14:paraId="06E7640B" w14:textId="77777777" w:rsidR="00AE37FA" w:rsidRDefault="00600A94">
            <w:pPr>
              <w:keepNext/>
              <w:keepLines/>
              <w:spacing w:after="0" w:line="240" w:lineRule="auto"/>
            </w:pPr>
            <w:r>
              <w:rPr>
                <w:sz w:val="18"/>
              </w:rPr>
              <w:t>RASHODI POSLOVANJA (šifre 31+32+34+35+36+37+38)</w:t>
            </w:r>
          </w:p>
        </w:tc>
        <w:tc>
          <w:tcPr>
            <w:tcW w:w="700" w:type="dxa"/>
            <w:tcMar>
              <w:top w:w="0" w:type="dxa"/>
              <w:bottom w:w="0" w:type="dxa"/>
            </w:tcMar>
            <w:vAlign w:val="center"/>
          </w:tcPr>
          <w:p w14:paraId="75F59E09" w14:textId="77777777" w:rsidR="00AE37FA" w:rsidRDefault="00600A94">
            <w:pPr>
              <w:keepNext/>
              <w:keepLines/>
              <w:spacing w:after="0" w:line="240" w:lineRule="auto"/>
            </w:pPr>
            <w:r>
              <w:rPr>
                <w:sz w:val="18"/>
              </w:rPr>
              <w:t>3</w:t>
            </w:r>
          </w:p>
        </w:tc>
        <w:tc>
          <w:tcPr>
            <w:tcW w:w="1860" w:type="dxa"/>
            <w:tcMar>
              <w:top w:w="0" w:type="dxa"/>
              <w:bottom w:w="0" w:type="dxa"/>
            </w:tcMar>
            <w:vAlign w:val="center"/>
          </w:tcPr>
          <w:p w14:paraId="6ABCA745" w14:textId="77777777" w:rsidR="00AE37FA" w:rsidRDefault="00600A94">
            <w:pPr>
              <w:keepNext/>
              <w:keepLines/>
              <w:spacing w:after="0" w:line="240" w:lineRule="auto"/>
              <w:jc w:val="right"/>
            </w:pPr>
            <w:r>
              <w:rPr>
                <w:sz w:val="18"/>
              </w:rPr>
              <w:t>765.983,34</w:t>
            </w:r>
          </w:p>
        </w:tc>
        <w:tc>
          <w:tcPr>
            <w:tcW w:w="1860" w:type="dxa"/>
            <w:tcMar>
              <w:top w:w="0" w:type="dxa"/>
              <w:bottom w:w="0" w:type="dxa"/>
            </w:tcMar>
            <w:vAlign w:val="center"/>
          </w:tcPr>
          <w:p w14:paraId="6269E066" w14:textId="77777777" w:rsidR="00AE37FA" w:rsidRDefault="00600A94">
            <w:pPr>
              <w:keepNext/>
              <w:keepLines/>
              <w:spacing w:after="0" w:line="240" w:lineRule="auto"/>
              <w:jc w:val="right"/>
            </w:pPr>
            <w:r>
              <w:rPr>
                <w:sz w:val="18"/>
              </w:rPr>
              <w:t>756.244,85</w:t>
            </w:r>
          </w:p>
        </w:tc>
        <w:tc>
          <w:tcPr>
            <w:tcW w:w="700" w:type="dxa"/>
            <w:tcMar>
              <w:top w:w="0" w:type="dxa"/>
              <w:bottom w:w="0" w:type="dxa"/>
            </w:tcMar>
            <w:vAlign w:val="center"/>
          </w:tcPr>
          <w:p w14:paraId="12D29D32" w14:textId="77777777" w:rsidR="00AE37FA" w:rsidRDefault="00600A94">
            <w:pPr>
              <w:keepNext/>
              <w:keepLines/>
              <w:spacing w:after="0" w:line="240" w:lineRule="auto"/>
              <w:jc w:val="right"/>
            </w:pPr>
            <w:r>
              <w:rPr>
                <w:sz w:val="18"/>
              </w:rPr>
              <w:t>98,7</w:t>
            </w:r>
          </w:p>
        </w:tc>
      </w:tr>
    </w:tbl>
    <w:p w14:paraId="5C26934C" w14:textId="77777777" w:rsidR="00AE37FA" w:rsidRDefault="00AE37FA">
      <w:pPr>
        <w:spacing w:after="0"/>
      </w:pPr>
    </w:p>
    <w:p w14:paraId="4EEDA93E" w14:textId="77777777" w:rsidR="00AE37FA" w:rsidRDefault="00600A94">
      <w:r>
        <w:t xml:space="preserve">Rashodi poslovanja Grada Zlatara ostvareni u razdoblju od 01. siječnja do 31. ožujka 2026.  godine ostvareni su u iznosu od 756.244,85 €, odnosno 1,3% manje nego prethodne 2025. godine. Na smanjenje ukupnih rashoda najviše je utjecalo smanjenje materijalnih rashoda za 28,5%, smanjenje rashoda za službena putovanja za 87,1%, rashoda za stručno usavršavanje zaposlenika za 76,1%, rashoda za materijal i energiju za 42,5% te rashoda za usluge za 23,8% te ostalih nespomenutih rashoda poslovanja za 35,3% u odnosu </w:t>
      </w:r>
      <w:r>
        <w:t>na promatrano razdoblje 2025. godine.</w:t>
      </w:r>
    </w:p>
    <w:p w14:paraId="0E82992D" w14:textId="77777777" w:rsidR="00AE37FA" w:rsidRDefault="00AE37FA"/>
    <w:p w14:paraId="433B0B2B" w14:textId="77777777" w:rsidR="00AE37FA" w:rsidRDefault="00600A94">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4AF007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856D3"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97AD33"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C617C"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4915C"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962EC"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4ABCF" w14:textId="77777777" w:rsidR="00AE37FA" w:rsidRDefault="00600A94">
            <w:pPr>
              <w:keepNext/>
              <w:keepLines/>
              <w:spacing w:after="0" w:line="240" w:lineRule="auto"/>
              <w:jc w:val="center"/>
            </w:pPr>
            <w:r>
              <w:rPr>
                <w:b/>
                <w:sz w:val="18"/>
              </w:rPr>
              <w:t>Indeks (%)</w:t>
            </w:r>
          </w:p>
        </w:tc>
      </w:tr>
      <w:tr w:rsidR="00AE37FA" w14:paraId="3E8D2FC5" w14:textId="77777777">
        <w:tblPrEx>
          <w:tblCellMar>
            <w:top w:w="0" w:type="dxa"/>
            <w:bottom w:w="0" w:type="dxa"/>
          </w:tblCellMar>
        </w:tblPrEx>
        <w:trPr>
          <w:cantSplit/>
          <w:trHeight w:val="560"/>
        </w:trPr>
        <w:tc>
          <w:tcPr>
            <w:tcW w:w="700" w:type="dxa"/>
            <w:tcMar>
              <w:top w:w="0" w:type="dxa"/>
              <w:bottom w:w="0" w:type="dxa"/>
            </w:tcMar>
            <w:vAlign w:val="center"/>
          </w:tcPr>
          <w:p w14:paraId="75532765" w14:textId="77777777" w:rsidR="00AE37FA" w:rsidRDefault="00600A94">
            <w:pPr>
              <w:keepNext/>
              <w:keepLines/>
              <w:spacing w:after="0" w:line="240" w:lineRule="auto"/>
            </w:pPr>
            <w:r>
              <w:rPr>
                <w:sz w:val="18"/>
              </w:rPr>
              <w:t>322</w:t>
            </w:r>
          </w:p>
        </w:tc>
        <w:tc>
          <w:tcPr>
            <w:tcW w:w="3180" w:type="dxa"/>
            <w:tcMar>
              <w:top w:w="0" w:type="dxa"/>
              <w:bottom w:w="0" w:type="dxa"/>
            </w:tcMar>
            <w:vAlign w:val="center"/>
          </w:tcPr>
          <w:p w14:paraId="121B4548" w14:textId="77777777" w:rsidR="00AE37FA" w:rsidRDefault="00600A94">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B3D8ABD" w14:textId="77777777" w:rsidR="00AE37FA" w:rsidRDefault="00600A94">
            <w:pPr>
              <w:keepNext/>
              <w:keepLines/>
              <w:spacing w:after="0" w:line="240" w:lineRule="auto"/>
            </w:pPr>
            <w:r>
              <w:rPr>
                <w:sz w:val="18"/>
              </w:rPr>
              <w:t>322</w:t>
            </w:r>
          </w:p>
        </w:tc>
        <w:tc>
          <w:tcPr>
            <w:tcW w:w="1860" w:type="dxa"/>
            <w:tcMar>
              <w:top w:w="0" w:type="dxa"/>
              <w:bottom w:w="0" w:type="dxa"/>
            </w:tcMar>
            <w:vAlign w:val="center"/>
          </w:tcPr>
          <w:p w14:paraId="43003540" w14:textId="77777777" w:rsidR="00AE37FA" w:rsidRDefault="00600A94">
            <w:pPr>
              <w:keepNext/>
              <w:keepLines/>
              <w:spacing w:after="0" w:line="240" w:lineRule="auto"/>
              <w:jc w:val="right"/>
            </w:pPr>
            <w:r>
              <w:rPr>
                <w:sz w:val="18"/>
              </w:rPr>
              <w:t>45.352,80</w:t>
            </w:r>
          </w:p>
        </w:tc>
        <w:tc>
          <w:tcPr>
            <w:tcW w:w="1860" w:type="dxa"/>
            <w:tcMar>
              <w:top w:w="0" w:type="dxa"/>
              <w:bottom w:w="0" w:type="dxa"/>
            </w:tcMar>
            <w:vAlign w:val="center"/>
          </w:tcPr>
          <w:p w14:paraId="7A07A1C0" w14:textId="77777777" w:rsidR="00AE37FA" w:rsidRDefault="00600A94">
            <w:pPr>
              <w:keepNext/>
              <w:keepLines/>
              <w:spacing w:after="0" w:line="240" w:lineRule="auto"/>
              <w:jc w:val="right"/>
            </w:pPr>
            <w:r>
              <w:rPr>
                <w:sz w:val="18"/>
              </w:rPr>
              <w:t>26.095,22</w:t>
            </w:r>
          </w:p>
        </w:tc>
        <w:tc>
          <w:tcPr>
            <w:tcW w:w="700" w:type="dxa"/>
            <w:tcMar>
              <w:top w:w="0" w:type="dxa"/>
              <w:bottom w:w="0" w:type="dxa"/>
            </w:tcMar>
            <w:vAlign w:val="center"/>
          </w:tcPr>
          <w:p w14:paraId="11D54A39" w14:textId="77777777" w:rsidR="00AE37FA" w:rsidRDefault="00600A94">
            <w:pPr>
              <w:keepNext/>
              <w:keepLines/>
              <w:spacing w:after="0" w:line="240" w:lineRule="auto"/>
              <w:jc w:val="right"/>
            </w:pPr>
            <w:r>
              <w:rPr>
                <w:sz w:val="18"/>
              </w:rPr>
              <w:t>57,5</w:t>
            </w:r>
          </w:p>
        </w:tc>
      </w:tr>
    </w:tbl>
    <w:p w14:paraId="496E61D9" w14:textId="77777777" w:rsidR="00AE37FA" w:rsidRDefault="00AE37FA">
      <w:pPr>
        <w:spacing w:after="0"/>
      </w:pPr>
    </w:p>
    <w:p w14:paraId="2AAC8E09" w14:textId="77777777" w:rsidR="00AE37FA" w:rsidRDefault="00600A94">
      <w:r>
        <w:t>Rashodi za materijal i energiju u razdoblju od 01. siječnja do 31. ožujka 2026.  godine ostvareni su u iznosu od 26.095,22 €, odnosno  42,5% manje u odnosu na iste rashode ostvarene u promatranom razdoblju 2025. godine. Na smanjenje rashoda za materijal i energiju najviše je utjecalo smanjenje rashoda za uredski materijal i ostale materijalne rashode koji su bili 78,9% manji nego u promatranom razdoblju 2025. godine.</w:t>
      </w:r>
    </w:p>
    <w:p w14:paraId="38D1BEB2" w14:textId="77777777" w:rsidR="00AE37FA" w:rsidRDefault="00AE37FA"/>
    <w:p w14:paraId="618D7AD1" w14:textId="77777777" w:rsidR="00AE37FA" w:rsidRDefault="00600A9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3FF51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ADA10F"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087CF7"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AED245"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55FEF"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FE1683"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B26C65" w14:textId="77777777" w:rsidR="00AE37FA" w:rsidRDefault="00600A94">
            <w:pPr>
              <w:keepNext/>
              <w:keepLines/>
              <w:spacing w:after="0" w:line="240" w:lineRule="auto"/>
              <w:jc w:val="center"/>
            </w:pPr>
            <w:r>
              <w:rPr>
                <w:b/>
                <w:sz w:val="18"/>
              </w:rPr>
              <w:t>Indeks (%)</w:t>
            </w:r>
          </w:p>
        </w:tc>
      </w:tr>
      <w:tr w:rsidR="00AE37FA" w14:paraId="7A2411FB" w14:textId="77777777">
        <w:tblPrEx>
          <w:tblCellMar>
            <w:top w:w="0" w:type="dxa"/>
            <w:bottom w:w="0" w:type="dxa"/>
          </w:tblCellMar>
        </w:tblPrEx>
        <w:trPr>
          <w:cantSplit/>
          <w:trHeight w:val="560"/>
        </w:trPr>
        <w:tc>
          <w:tcPr>
            <w:tcW w:w="700" w:type="dxa"/>
            <w:tcMar>
              <w:top w:w="0" w:type="dxa"/>
              <w:bottom w:w="0" w:type="dxa"/>
            </w:tcMar>
            <w:vAlign w:val="center"/>
          </w:tcPr>
          <w:p w14:paraId="38D22144" w14:textId="77777777" w:rsidR="00AE37FA" w:rsidRDefault="00600A94">
            <w:pPr>
              <w:keepNext/>
              <w:keepLines/>
              <w:spacing w:after="0" w:line="240" w:lineRule="auto"/>
            </w:pPr>
            <w:r>
              <w:rPr>
                <w:sz w:val="18"/>
              </w:rPr>
              <w:t>323</w:t>
            </w:r>
          </w:p>
        </w:tc>
        <w:tc>
          <w:tcPr>
            <w:tcW w:w="3180" w:type="dxa"/>
            <w:tcMar>
              <w:top w:w="0" w:type="dxa"/>
              <w:bottom w:w="0" w:type="dxa"/>
            </w:tcMar>
            <w:vAlign w:val="center"/>
          </w:tcPr>
          <w:p w14:paraId="70530777" w14:textId="77777777" w:rsidR="00AE37FA" w:rsidRDefault="00600A94">
            <w:pPr>
              <w:keepNext/>
              <w:keepLines/>
              <w:spacing w:after="0" w:line="240" w:lineRule="auto"/>
            </w:pPr>
            <w:r>
              <w:rPr>
                <w:sz w:val="18"/>
              </w:rPr>
              <w:t>Rashodi za usluge (šifre 3231 do 3239)</w:t>
            </w:r>
          </w:p>
        </w:tc>
        <w:tc>
          <w:tcPr>
            <w:tcW w:w="700" w:type="dxa"/>
            <w:tcMar>
              <w:top w:w="0" w:type="dxa"/>
              <w:bottom w:w="0" w:type="dxa"/>
            </w:tcMar>
            <w:vAlign w:val="center"/>
          </w:tcPr>
          <w:p w14:paraId="3C52514C" w14:textId="77777777" w:rsidR="00AE37FA" w:rsidRDefault="00600A94">
            <w:pPr>
              <w:keepNext/>
              <w:keepLines/>
              <w:spacing w:after="0" w:line="240" w:lineRule="auto"/>
            </w:pPr>
            <w:r>
              <w:rPr>
                <w:sz w:val="18"/>
              </w:rPr>
              <w:t>323</w:t>
            </w:r>
          </w:p>
        </w:tc>
        <w:tc>
          <w:tcPr>
            <w:tcW w:w="1860" w:type="dxa"/>
            <w:tcMar>
              <w:top w:w="0" w:type="dxa"/>
              <w:bottom w:w="0" w:type="dxa"/>
            </w:tcMar>
            <w:vAlign w:val="center"/>
          </w:tcPr>
          <w:p w14:paraId="3D05AE32" w14:textId="77777777" w:rsidR="00AE37FA" w:rsidRDefault="00600A94">
            <w:pPr>
              <w:keepNext/>
              <w:keepLines/>
              <w:spacing w:after="0" w:line="240" w:lineRule="auto"/>
              <w:jc w:val="right"/>
            </w:pPr>
            <w:r>
              <w:rPr>
                <w:sz w:val="18"/>
              </w:rPr>
              <w:t>224.079,65</w:t>
            </w:r>
          </w:p>
        </w:tc>
        <w:tc>
          <w:tcPr>
            <w:tcW w:w="1860" w:type="dxa"/>
            <w:tcMar>
              <w:top w:w="0" w:type="dxa"/>
              <w:bottom w:w="0" w:type="dxa"/>
            </w:tcMar>
            <w:vAlign w:val="center"/>
          </w:tcPr>
          <w:p w14:paraId="1DF888FC" w14:textId="77777777" w:rsidR="00AE37FA" w:rsidRDefault="00600A94">
            <w:pPr>
              <w:keepNext/>
              <w:keepLines/>
              <w:spacing w:after="0" w:line="240" w:lineRule="auto"/>
              <w:jc w:val="right"/>
            </w:pPr>
            <w:r>
              <w:rPr>
                <w:sz w:val="18"/>
              </w:rPr>
              <w:t>170.735,26</w:t>
            </w:r>
          </w:p>
        </w:tc>
        <w:tc>
          <w:tcPr>
            <w:tcW w:w="700" w:type="dxa"/>
            <w:tcMar>
              <w:top w:w="0" w:type="dxa"/>
              <w:bottom w:w="0" w:type="dxa"/>
            </w:tcMar>
            <w:vAlign w:val="center"/>
          </w:tcPr>
          <w:p w14:paraId="62ABF6B3" w14:textId="77777777" w:rsidR="00AE37FA" w:rsidRDefault="00600A94">
            <w:pPr>
              <w:keepNext/>
              <w:keepLines/>
              <w:spacing w:after="0" w:line="240" w:lineRule="auto"/>
              <w:jc w:val="right"/>
            </w:pPr>
            <w:r>
              <w:rPr>
                <w:sz w:val="18"/>
              </w:rPr>
              <w:t>76,2</w:t>
            </w:r>
          </w:p>
        </w:tc>
      </w:tr>
    </w:tbl>
    <w:p w14:paraId="54D2CC09" w14:textId="77777777" w:rsidR="00AE37FA" w:rsidRDefault="00AE37FA">
      <w:pPr>
        <w:spacing w:after="0"/>
      </w:pPr>
    </w:p>
    <w:p w14:paraId="35EA46DE" w14:textId="77777777" w:rsidR="00AE37FA" w:rsidRDefault="00600A94">
      <w:r>
        <w:t>Rashodi za usluge u razdoblju od 01. siječnja do 31. ožujka 2026.  godine  ostvareni su u iznosu od 170.735,26 € odnosno za 23,8% manje u odnosu na iste rashode ostvarene u promatranom razdoblju 2025. godine. Na to smanjenje najviše je utjecalo smanjenje rashoda za intelektualne i osobne usluge za 79,9%. u odnosu na iste rashode ostvarene u promatranom razdoblju 2025. godine.</w:t>
      </w:r>
    </w:p>
    <w:p w14:paraId="77AD8511" w14:textId="77777777" w:rsidR="00AE37FA" w:rsidRDefault="00AE37FA"/>
    <w:p w14:paraId="56D6D5E2" w14:textId="77777777" w:rsidR="00AE37FA" w:rsidRDefault="00600A9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2A5679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830EC"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D97DD7"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D6C1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94131"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76D887"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DAA2E" w14:textId="77777777" w:rsidR="00AE37FA" w:rsidRDefault="00600A94">
            <w:pPr>
              <w:keepNext/>
              <w:keepLines/>
              <w:spacing w:after="0" w:line="240" w:lineRule="auto"/>
              <w:jc w:val="center"/>
            </w:pPr>
            <w:r>
              <w:rPr>
                <w:b/>
                <w:sz w:val="18"/>
              </w:rPr>
              <w:t>Indeks (%)</w:t>
            </w:r>
          </w:p>
        </w:tc>
      </w:tr>
      <w:tr w:rsidR="00AE37FA" w14:paraId="24340983" w14:textId="77777777">
        <w:tblPrEx>
          <w:tblCellMar>
            <w:top w:w="0" w:type="dxa"/>
            <w:bottom w:w="0" w:type="dxa"/>
          </w:tblCellMar>
        </w:tblPrEx>
        <w:trPr>
          <w:cantSplit/>
          <w:trHeight w:val="560"/>
        </w:trPr>
        <w:tc>
          <w:tcPr>
            <w:tcW w:w="700" w:type="dxa"/>
            <w:tcMar>
              <w:top w:w="0" w:type="dxa"/>
              <w:bottom w:w="0" w:type="dxa"/>
            </w:tcMar>
            <w:vAlign w:val="center"/>
          </w:tcPr>
          <w:p w14:paraId="5274BF91" w14:textId="77777777" w:rsidR="00AE37FA" w:rsidRDefault="00600A94">
            <w:pPr>
              <w:keepNext/>
              <w:keepLines/>
              <w:spacing w:after="0" w:line="240" w:lineRule="auto"/>
            </w:pPr>
            <w:r>
              <w:rPr>
                <w:sz w:val="18"/>
              </w:rPr>
              <w:t>351</w:t>
            </w:r>
          </w:p>
        </w:tc>
        <w:tc>
          <w:tcPr>
            <w:tcW w:w="3180" w:type="dxa"/>
            <w:tcMar>
              <w:top w:w="0" w:type="dxa"/>
              <w:bottom w:w="0" w:type="dxa"/>
            </w:tcMar>
            <w:vAlign w:val="center"/>
          </w:tcPr>
          <w:p w14:paraId="63E60B4B" w14:textId="77777777" w:rsidR="00AE37FA" w:rsidRDefault="00600A94">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0B4C327D" w14:textId="77777777" w:rsidR="00AE37FA" w:rsidRDefault="00600A94">
            <w:pPr>
              <w:keepNext/>
              <w:keepLines/>
              <w:spacing w:after="0" w:line="240" w:lineRule="auto"/>
            </w:pPr>
            <w:r>
              <w:rPr>
                <w:sz w:val="18"/>
              </w:rPr>
              <w:t>351</w:t>
            </w:r>
          </w:p>
        </w:tc>
        <w:tc>
          <w:tcPr>
            <w:tcW w:w="1860" w:type="dxa"/>
            <w:tcMar>
              <w:top w:w="0" w:type="dxa"/>
              <w:bottom w:w="0" w:type="dxa"/>
            </w:tcMar>
            <w:vAlign w:val="center"/>
          </w:tcPr>
          <w:p w14:paraId="05398AA7" w14:textId="77777777" w:rsidR="00AE37FA" w:rsidRDefault="00600A94">
            <w:pPr>
              <w:keepNext/>
              <w:keepLines/>
              <w:spacing w:after="0" w:line="240" w:lineRule="auto"/>
              <w:jc w:val="right"/>
            </w:pPr>
            <w:r>
              <w:rPr>
                <w:sz w:val="18"/>
              </w:rPr>
              <w:t>14.000,00</w:t>
            </w:r>
          </w:p>
        </w:tc>
        <w:tc>
          <w:tcPr>
            <w:tcW w:w="1860" w:type="dxa"/>
            <w:tcMar>
              <w:top w:w="0" w:type="dxa"/>
              <w:bottom w:w="0" w:type="dxa"/>
            </w:tcMar>
            <w:vAlign w:val="center"/>
          </w:tcPr>
          <w:p w14:paraId="0B88E6B6" w14:textId="77777777" w:rsidR="00AE37FA" w:rsidRDefault="00600A94">
            <w:pPr>
              <w:keepNext/>
              <w:keepLines/>
              <w:spacing w:after="0" w:line="240" w:lineRule="auto"/>
              <w:jc w:val="right"/>
            </w:pPr>
            <w:r>
              <w:rPr>
                <w:sz w:val="18"/>
              </w:rPr>
              <w:t>30.423,33</w:t>
            </w:r>
          </w:p>
        </w:tc>
        <w:tc>
          <w:tcPr>
            <w:tcW w:w="700" w:type="dxa"/>
            <w:tcMar>
              <w:top w:w="0" w:type="dxa"/>
              <w:bottom w:w="0" w:type="dxa"/>
            </w:tcMar>
            <w:vAlign w:val="center"/>
          </w:tcPr>
          <w:p w14:paraId="1E0796E1" w14:textId="77777777" w:rsidR="00AE37FA" w:rsidRDefault="00600A94">
            <w:pPr>
              <w:keepNext/>
              <w:keepLines/>
              <w:spacing w:after="0" w:line="240" w:lineRule="auto"/>
              <w:jc w:val="right"/>
            </w:pPr>
            <w:r>
              <w:rPr>
                <w:sz w:val="18"/>
              </w:rPr>
              <w:t>217,3</w:t>
            </w:r>
          </w:p>
        </w:tc>
      </w:tr>
    </w:tbl>
    <w:p w14:paraId="7B5D9CE9" w14:textId="77777777" w:rsidR="00AE37FA" w:rsidRDefault="00AE37FA">
      <w:pPr>
        <w:spacing w:after="0"/>
      </w:pPr>
    </w:p>
    <w:p w14:paraId="51598AEF" w14:textId="77777777" w:rsidR="00AE37FA" w:rsidRDefault="00600A94">
      <w:r>
        <w:t>Rashodi za subvencije kreditnim i ostalim financijskim institucijama i trgovačkim društvima u javnom sektoru u razdoblju od 01. siječnja do 31. ožujka 2026.  godine  ostvareni su u iznosu od  30.423,33 €, odnosno 117,30 %  više u odnosu na iste rashode ostvarene u promatranom razdoblju 2025. godine, a odnose se na subvencije trgovačkim društvima u javnom sektoru.</w:t>
      </w:r>
    </w:p>
    <w:p w14:paraId="7333C910" w14:textId="77777777" w:rsidR="00AE37FA" w:rsidRDefault="00AE37FA"/>
    <w:p w14:paraId="24B56DA4" w14:textId="77777777" w:rsidR="00AE37FA" w:rsidRDefault="00600A94">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382655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BE5BF"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E9C0EF"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9B3D8E"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55B49"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DBCC2C"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486DB" w14:textId="77777777" w:rsidR="00AE37FA" w:rsidRDefault="00600A94">
            <w:pPr>
              <w:keepNext/>
              <w:keepLines/>
              <w:spacing w:after="0" w:line="240" w:lineRule="auto"/>
              <w:jc w:val="center"/>
            </w:pPr>
            <w:r>
              <w:rPr>
                <w:b/>
                <w:sz w:val="18"/>
              </w:rPr>
              <w:t>Indeks (%)</w:t>
            </w:r>
          </w:p>
        </w:tc>
      </w:tr>
      <w:tr w:rsidR="00AE37FA" w14:paraId="7E5D82EC" w14:textId="77777777">
        <w:tblPrEx>
          <w:tblCellMar>
            <w:top w:w="0" w:type="dxa"/>
            <w:bottom w:w="0" w:type="dxa"/>
          </w:tblCellMar>
        </w:tblPrEx>
        <w:trPr>
          <w:cantSplit/>
          <w:trHeight w:val="560"/>
        </w:trPr>
        <w:tc>
          <w:tcPr>
            <w:tcW w:w="700" w:type="dxa"/>
            <w:tcMar>
              <w:top w:w="0" w:type="dxa"/>
              <w:bottom w:w="0" w:type="dxa"/>
            </w:tcMar>
            <w:vAlign w:val="center"/>
          </w:tcPr>
          <w:p w14:paraId="31A536B6" w14:textId="77777777" w:rsidR="00AE37FA" w:rsidRDefault="00600A94">
            <w:pPr>
              <w:keepNext/>
              <w:keepLines/>
              <w:spacing w:after="0" w:line="240" w:lineRule="auto"/>
            </w:pPr>
            <w:r>
              <w:rPr>
                <w:sz w:val="18"/>
              </w:rPr>
              <w:t>367</w:t>
            </w:r>
          </w:p>
        </w:tc>
        <w:tc>
          <w:tcPr>
            <w:tcW w:w="3180" w:type="dxa"/>
            <w:tcMar>
              <w:top w:w="0" w:type="dxa"/>
              <w:bottom w:w="0" w:type="dxa"/>
            </w:tcMar>
            <w:vAlign w:val="center"/>
          </w:tcPr>
          <w:p w14:paraId="2A30B5DE" w14:textId="77777777" w:rsidR="00AE37FA" w:rsidRDefault="00600A94">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29BDBFA5" w14:textId="77777777" w:rsidR="00AE37FA" w:rsidRDefault="00600A94">
            <w:pPr>
              <w:keepNext/>
              <w:keepLines/>
              <w:spacing w:after="0" w:line="240" w:lineRule="auto"/>
            </w:pPr>
            <w:r>
              <w:rPr>
                <w:sz w:val="18"/>
              </w:rPr>
              <w:t>367</w:t>
            </w:r>
          </w:p>
        </w:tc>
        <w:tc>
          <w:tcPr>
            <w:tcW w:w="1860" w:type="dxa"/>
            <w:tcMar>
              <w:top w:w="0" w:type="dxa"/>
              <w:bottom w:w="0" w:type="dxa"/>
            </w:tcMar>
            <w:vAlign w:val="center"/>
          </w:tcPr>
          <w:p w14:paraId="6F6DE70B" w14:textId="77777777" w:rsidR="00AE37FA" w:rsidRDefault="00600A94">
            <w:pPr>
              <w:keepNext/>
              <w:keepLines/>
              <w:spacing w:after="0" w:line="240" w:lineRule="auto"/>
              <w:jc w:val="right"/>
            </w:pPr>
            <w:r>
              <w:rPr>
                <w:sz w:val="18"/>
              </w:rPr>
              <w:t>170.550,46</w:t>
            </w:r>
          </w:p>
        </w:tc>
        <w:tc>
          <w:tcPr>
            <w:tcW w:w="1860" w:type="dxa"/>
            <w:tcMar>
              <w:top w:w="0" w:type="dxa"/>
              <w:bottom w:w="0" w:type="dxa"/>
            </w:tcMar>
            <w:vAlign w:val="center"/>
          </w:tcPr>
          <w:p w14:paraId="6645837C" w14:textId="77777777" w:rsidR="00AE37FA" w:rsidRDefault="00600A94">
            <w:pPr>
              <w:keepNext/>
              <w:keepLines/>
              <w:spacing w:after="0" w:line="240" w:lineRule="auto"/>
              <w:jc w:val="right"/>
            </w:pPr>
            <w:r>
              <w:rPr>
                <w:sz w:val="18"/>
              </w:rPr>
              <w:t>206.290,18</w:t>
            </w:r>
          </w:p>
        </w:tc>
        <w:tc>
          <w:tcPr>
            <w:tcW w:w="700" w:type="dxa"/>
            <w:tcMar>
              <w:top w:w="0" w:type="dxa"/>
              <w:bottom w:w="0" w:type="dxa"/>
            </w:tcMar>
            <w:vAlign w:val="center"/>
          </w:tcPr>
          <w:p w14:paraId="13D21ADE" w14:textId="77777777" w:rsidR="00AE37FA" w:rsidRDefault="00600A94">
            <w:pPr>
              <w:keepNext/>
              <w:keepLines/>
              <w:spacing w:after="0" w:line="240" w:lineRule="auto"/>
              <w:jc w:val="right"/>
            </w:pPr>
            <w:r>
              <w:rPr>
                <w:sz w:val="18"/>
              </w:rPr>
              <w:t>121,0</w:t>
            </w:r>
          </w:p>
        </w:tc>
      </w:tr>
    </w:tbl>
    <w:p w14:paraId="6474947D" w14:textId="77777777" w:rsidR="00AE37FA" w:rsidRDefault="00AE37FA">
      <w:pPr>
        <w:spacing w:after="0"/>
      </w:pPr>
    </w:p>
    <w:p w14:paraId="677169E2" w14:textId="77777777" w:rsidR="00AE37FA" w:rsidRDefault="00600A94">
      <w:r>
        <w:t>Rashodi za navedene pomoći u razdoblju od 01. siječnja do 31. ožujka 2026.  godine ostvareni su u iznosu od 206.290,18 €, odnosno 21%  više u odnosu na iste rashode ostvarene u promatranom razdoblju 2025. godine. Na rast tih rashoda je utjecalo povećanje rashoda za prijenose proračunskim korisnicima iz nadležnog proračuna za financiranje rashoda poslovanja za 21,7%. </w:t>
      </w:r>
    </w:p>
    <w:p w14:paraId="04F7E137" w14:textId="77777777" w:rsidR="00AE37FA" w:rsidRDefault="00AE37FA"/>
    <w:p w14:paraId="3487B3DA" w14:textId="77777777" w:rsidR="00AE37FA" w:rsidRDefault="00600A9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1BD5FA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0B86DD"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41AFDE"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49A7D"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761C8"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5F3496"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712CF2" w14:textId="77777777" w:rsidR="00AE37FA" w:rsidRDefault="00600A94">
            <w:pPr>
              <w:keepNext/>
              <w:keepLines/>
              <w:spacing w:after="0" w:line="240" w:lineRule="auto"/>
              <w:jc w:val="center"/>
            </w:pPr>
            <w:r>
              <w:rPr>
                <w:b/>
                <w:sz w:val="18"/>
              </w:rPr>
              <w:t>Indeks (%)</w:t>
            </w:r>
          </w:p>
        </w:tc>
      </w:tr>
      <w:tr w:rsidR="00AE37FA" w14:paraId="69B84C64" w14:textId="77777777">
        <w:tblPrEx>
          <w:tblCellMar>
            <w:top w:w="0" w:type="dxa"/>
            <w:bottom w:w="0" w:type="dxa"/>
          </w:tblCellMar>
        </w:tblPrEx>
        <w:trPr>
          <w:cantSplit/>
          <w:trHeight w:val="560"/>
        </w:trPr>
        <w:tc>
          <w:tcPr>
            <w:tcW w:w="700" w:type="dxa"/>
            <w:tcMar>
              <w:top w:w="0" w:type="dxa"/>
              <w:bottom w:w="0" w:type="dxa"/>
            </w:tcMar>
            <w:vAlign w:val="center"/>
          </w:tcPr>
          <w:p w14:paraId="7AECA93A" w14:textId="77777777" w:rsidR="00AE37FA" w:rsidRDefault="00600A94">
            <w:pPr>
              <w:keepNext/>
              <w:keepLines/>
              <w:spacing w:after="0" w:line="240" w:lineRule="auto"/>
            </w:pPr>
            <w:r>
              <w:rPr>
                <w:sz w:val="18"/>
              </w:rPr>
              <w:t>372</w:t>
            </w:r>
          </w:p>
        </w:tc>
        <w:tc>
          <w:tcPr>
            <w:tcW w:w="3180" w:type="dxa"/>
            <w:tcMar>
              <w:top w:w="0" w:type="dxa"/>
              <w:bottom w:w="0" w:type="dxa"/>
            </w:tcMar>
            <w:vAlign w:val="center"/>
          </w:tcPr>
          <w:p w14:paraId="64251E70" w14:textId="77777777" w:rsidR="00AE37FA" w:rsidRDefault="00600A94">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7F0D9F00" w14:textId="77777777" w:rsidR="00AE37FA" w:rsidRDefault="00600A94">
            <w:pPr>
              <w:keepNext/>
              <w:keepLines/>
              <w:spacing w:after="0" w:line="240" w:lineRule="auto"/>
            </w:pPr>
            <w:r>
              <w:rPr>
                <w:sz w:val="18"/>
              </w:rPr>
              <w:t>372</w:t>
            </w:r>
          </w:p>
        </w:tc>
        <w:tc>
          <w:tcPr>
            <w:tcW w:w="1860" w:type="dxa"/>
            <w:tcMar>
              <w:top w:w="0" w:type="dxa"/>
              <w:bottom w:w="0" w:type="dxa"/>
            </w:tcMar>
            <w:vAlign w:val="center"/>
          </w:tcPr>
          <w:p w14:paraId="4899CDEB" w14:textId="77777777" w:rsidR="00AE37FA" w:rsidRDefault="00600A94">
            <w:pPr>
              <w:keepNext/>
              <w:keepLines/>
              <w:spacing w:after="0" w:line="240" w:lineRule="auto"/>
              <w:jc w:val="right"/>
            </w:pPr>
            <w:r>
              <w:rPr>
                <w:sz w:val="18"/>
              </w:rPr>
              <w:t>42.875,87</w:t>
            </w:r>
          </w:p>
        </w:tc>
        <w:tc>
          <w:tcPr>
            <w:tcW w:w="1860" w:type="dxa"/>
            <w:tcMar>
              <w:top w:w="0" w:type="dxa"/>
              <w:bottom w:w="0" w:type="dxa"/>
            </w:tcMar>
            <w:vAlign w:val="center"/>
          </w:tcPr>
          <w:p w14:paraId="4F7D8138" w14:textId="77777777" w:rsidR="00AE37FA" w:rsidRDefault="00600A94">
            <w:pPr>
              <w:keepNext/>
              <w:keepLines/>
              <w:spacing w:after="0" w:line="240" w:lineRule="auto"/>
              <w:jc w:val="right"/>
            </w:pPr>
            <w:r>
              <w:rPr>
                <w:sz w:val="18"/>
              </w:rPr>
              <w:t>56.128,14</w:t>
            </w:r>
          </w:p>
        </w:tc>
        <w:tc>
          <w:tcPr>
            <w:tcW w:w="700" w:type="dxa"/>
            <w:tcMar>
              <w:top w:w="0" w:type="dxa"/>
              <w:bottom w:w="0" w:type="dxa"/>
            </w:tcMar>
            <w:vAlign w:val="center"/>
          </w:tcPr>
          <w:p w14:paraId="1CD31AD0" w14:textId="77777777" w:rsidR="00AE37FA" w:rsidRDefault="00600A94">
            <w:pPr>
              <w:keepNext/>
              <w:keepLines/>
              <w:spacing w:after="0" w:line="240" w:lineRule="auto"/>
              <w:jc w:val="right"/>
            </w:pPr>
            <w:r>
              <w:rPr>
                <w:sz w:val="18"/>
              </w:rPr>
              <w:t>130,9</w:t>
            </w:r>
          </w:p>
        </w:tc>
      </w:tr>
    </w:tbl>
    <w:p w14:paraId="5E578652" w14:textId="77777777" w:rsidR="00AE37FA" w:rsidRDefault="00AE37FA">
      <w:pPr>
        <w:spacing w:after="0"/>
      </w:pPr>
    </w:p>
    <w:p w14:paraId="5EC8EA81" w14:textId="77777777" w:rsidR="00AE37FA" w:rsidRDefault="00600A94">
      <w:r>
        <w:t>Rashodi za ostale naknade građanima i kućanstvima od 01. siječnja do 31. ožujka 2026. godine ostvareni su u iznosu od 56.128,14 €, odnosno za 30,9 %  više u odnosu na iste rashode ostvarene u promatranom razdoblju 2025. godine, a odnose se na rashode za naknade građanima i kućanstvima u novcu.</w:t>
      </w:r>
    </w:p>
    <w:p w14:paraId="5CD93439" w14:textId="77777777" w:rsidR="00AE37FA" w:rsidRDefault="00AE37FA"/>
    <w:p w14:paraId="13B554FD" w14:textId="77777777" w:rsidR="00AE37FA" w:rsidRDefault="00600A9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475C76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8A1F11"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688A6"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4507FE"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0843F"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EE5116"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9778E" w14:textId="77777777" w:rsidR="00AE37FA" w:rsidRDefault="00600A94">
            <w:pPr>
              <w:keepNext/>
              <w:keepLines/>
              <w:spacing w:after="0" w:line="240" w:lineRule="auto"/>
              <w:jc w:val="center"/>
            </w:pPr>
            <w:r>
              <w:rPr>
                <w:b/>
                <w:sz w:val="18"/>
              </w:rPr>
              <w:t>Indeks (%)</w:t>
            </w:r>
          </w:p>
        </w:tc>
      </w:tr>
      <w:tr w:rsidR="00AE37FA" w14:paraId="68B67626" w14:textId="77777777">
        <w:tblPrEx>
          <w:tblCellMar>
            <w:top w:w="0" w:type="dxa"/>
            <w:bottom w:w="0" w:type="dxa"/>
          </w:tblCellMar>
        </w:tblPrEx>
        <w:trPr>
          <w:cantSplit/>
          <w:trHeight w:val="560"/>
        </w:trPr>
        <w:tc>
          <w:tcPr>
            <w:tcW w:w="700" w:type="dxa"/>
            <w:tcMar>
              <w:top w:w="0" w:type="dxa"/>
              <w:bottom w:w="0" w:type="dxa"/>
            </w:tcMar>
            <w:vAlign w:val="center"/>
          </w:tcPr>
          <w:p w14:paraId="412C8710" w14:textId="77777777" w:rsidR="00AE37FA" w:rsidRDefault="00600A94">
            <w:pPr>
              <w:keepNext/>
              <w:keepLines/>
              <w:spacing w:after="0" w:line="240" w:lineRule="auto"/>
            </w:pPr>
            <w:r>
              <w:rPr>
                <w:sz w:val="18"/>
              </w:rPr>
              <w:t>381</w:t>
            </w:r>
          </w:p>
        </w:tc>
        <w:tc>
          <w:tcPr>
            <w:tcW w:w="3180" w:type="dxa"/>
            <w:tcMar>
              <w:top w:w="0" w:type="dxa"/>
              <w:bottom w:w="0" w:type="dxa"/>
            </w:tcMar>
            <w:vAlign w:val="center"/>
          </w:tcPr>
          <w:p w14:paraId="644637B1" w14:textId="77777777" w:rsidR="00AE37FA" w:rsidRDefault="00600A94">
            <w:pPr>
              <w:keepNext/>
              <w:keepLines/>
              <w:spacing w:after="0" w:line="240" w:lineRule="auto"/>
            </w:pPr>
            <w:r>
              <w:rPr>
                <w:sz w:val="18"/>
              </w:rPr>
              <w:t>Tekuće donacije (šifre 3811 do 3813)</w:t>
            </w:r>
          </w:p>
        </w:tc>
        <w:tc>
          <w:tcPr>
            <w:tcW w:w="700" w:type="dxa"/>
            <w:tcMar>
              <w:top w:w="0" w:type="dxa"/>
              <w:bottom w:w="0" w:type="dxa"/>
            </w:tcMar>
            <w:vAlign w:val="center"/>
          </w:tcPr>
          <w:p w14:paraId="74D37B0E" w14:textId="77777777" w:rsidR="00AE37FA" w:rsidRDefault="00600A94">
            <w:pPr>
              <w:keepNext/>
              <w:keepLines/>
              <w:spacing w:after="0" w:line="240" w:lineRule="auto"/>
            </w:pPr>
            <w:r>
              <w:rPr>
                <w:sz w:val="18"/>
              </w:rPr>
              <w:t>381</w:t>
            </w:r>
          </w:p>
        </w:tc>
        <w:tc>
          <w:tcPr>
            <w:tcW w:w="1860" w:type="dxa"/>
            <w:tcMar>
              <w:top w:w="0" w:type="dxa"/>
              <w:bottom w:w="0" w:type="dxa"/>
            </w:tcMar>
            <w:vAlign w:val="center"/>
          </w:tcPr>
          <w:p w14:paraId="7024CEA8" w14:textId="77777777" w:rsidR="00AE37FA" w:rsidRDefault="00600A94">
            <w:pPr>
              <w:keepNext/>
              <w:keepLines/>
              <w:spacing w:after="0" w:line="240" w:lineRule="auto"/>
              <w:jc w:val="right"/>
            </w:pPr>
            <w:r>
              <w:rPr>
                <w:sz w:val="18"/>
              </w:rPr>
              <w:t>21.898,85</w:t>
            </w:r>
          </w:p>
        </w:tc>
        <w:tc>
          <w:tcPr>
            <w:tcW w:w="1860" w:type="dxa"/>
            <w:tcMar>
              <w:top w:w="0" w:type="dxa"/>
              <w:bottom w:w="0" w:type="dxa"/>
            </w:tcMar>
            <w:vAlign w:val="center"/>
          </w:tcPr>
          <w:p w14:paraId="4F18E590" w14:textId="77777777" w:rsidR="00AE37FA" w:rsidRDefault="00600A94">
            <w:pPr>
              <w:keepNext/>
              <w:keepLines/>
              <w:spacing w:after="0" w:line="240" w:lineRule="auto"/>
              <w:jc w:val="right"/>
            </w:pPr>
            <w:r>
              <w:rPr>
                <w:sz w:val="18"/>
              </w:rPr>
              <w:t>31.804,19</w:t>
            </w:r>
          </w:p>
        </w:tc>
        <w:tc>
          <w:tcPr>
            <w:tcW w:w="700" w:type="dxa"/>
            <w:tcMar>
              <w:top w:w="0" w:type="dxa"/>
              <w:bottom w:w="0" w:type="dxa"/>
            </w:tcMar>
            <w:vAlign w:val="center"/>
          </w:tcPr>
          <w:p w14:paraId="092B99C3" w14:textId="77777777" w:rsidR="00AE37FA" w:rsidRDefault="00600A94">
            <w:pPr>
              <w:keepNext/>
              <w:keepLines/>
              <w:spacing w:after="0" w:line="240" w:lineRule="auto"/>
              <w:jc w:val="right"/>
            </w:pPr>
            <w:r>
              <w:rPr>
                <w:sz w:val="18"/>
              </w:rPr>
              <w:t>145,2</w:t>
            </w:r>
          </w:p>
        </w:tc>
      </w:tr>
    </w:tbl>
    <w:p w14:paraId="3ADF855E" w14:textId="77777777" w:rsidR="00AE37FA" w:rsidRDefault="00AE37FA">
      <w:pPr>
        <w:spacing w:after="0"/>
      </w:pPr>
    </w:p>
    <w:p w14:paraId="2C0C40C4" w14:textId="77777777" w:rsidR="00AE37FA" w:rsidRDefault="00600A94">
      <w:r>
        <w:t>Rashodi za tekuće donacije od 01. siječnja do 31. ožujka 2026. godine ostvareni su u iznosu od 31.804,19 €, odnosno za 45,2 % više u odnosu na iste rashode ostvarene u promatranom razdoblju 2025. godine, a odnose se na povećanje tekućih donacija zdravstvenim neprofitnim organizacijama, vatrogasnoj zajednici te gorskoj službi spašavanja.</w:t>
      </w:r>
    </w:p>
    <w:p w14:paraId="6D1D5BF8" w14:textId="77777777" w:rsidR="00AE37FA" w:rsidRDefault="00AE37FA"/>
    <w:p w14:paraId="1A5E1ED9" w14:textId="77777777" w:rsidR="00AE37FA" w:rsidRDefault="00600A94">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5EE563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23816"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BE61E2"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BDF64B"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E50E5"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923D20"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FEFF4" w14:textId="77777777" w:rsidR="00AE37FA" w:rsidRDefault="00600A94">
            <w:pPr>
              <w:keepNext/>
              <w:keepLines/>
              <w:spacing w:after="0" w:line="240" w:lineRule="auto"/>
              <w:jc w:val="center"/>
            </w:pPr>
            <w:r>
              <w:rPr>
                <w:b/>
                <w:sz w:val="18"/>
              </w:rPr>
              <w:t>Indeks (%)</w:t>
            </w:r>
          </w:p>
        </w:tc>
      </w:tr>
      <w:tr w:rsidR="00AE37FA" w14:paraId="1674AF1A" w14:textId="77777777">
        <w:tblPrEx>
          <w:tblCellMar>
            <w:top w:w="0" w:type="dxa"/>
            <w:bottom w:w="0" w:type="dxa"/>
          </w:tblCellMar>
        </w:tblPrEx>
        <w:trPr>
          <w:cantSplit/>
          <w:trHeight w:val="560"/>
        </w:trPr>
        <w:tc>
          <w:tcPr>
            <w:tcW w:w="700" w:type="dxa"/>
            <w:tcMar>
              <w:top w:w="0" w:type="dxa"/>
              <w:bottom w:w="0" w:type="dxa"/>
            </w:tcMar>
            <w:vAlign w:val="center"/>
          </w:tcPr>
          <w:p w14:paraId="211D2841" w14:textId="77777777" w:rsidR="00AE37FA" w:rsidRDefault="00600A94">
            <w:pPr>
              <w:keepNext/>
              <w:keepLines/>
              <w:spacing w:after="0" w:line="240" w:lineRule="auto"/>
            </w:pPr>
            <w:r>
              <w:rPr>
                <w:sz w:val="18"/>
              </w:rPr>
              <w:t>7</w:t>
            </w:r>
          </w:p>
        </w:tc>
        <w:tc>
          <w:tcPr>
            <w:tcW w:w="3180" w:type="dxa"/>
            <w:tcMar>
              <w:top w:w="0" w:type="dxa"/>
              <w:bottom w:w="0" w:type="dxa"/>
            </w:tcMar>
            <w:vAlign w:val="center"/>
          </w:tcPr>
          <w:p w14:paraId="769DFA36" w14:textId="77777777" w:rsidR="00AE37FA" w:rsidRDefault="00600A9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594D717" w14:textId="77777777" w:rsidR="00AE37FA" w:rsidRDefault="00600A94">
            <w:pPr>
              <w:keepNext/>
              <w:keepLines/>
              <w:spacing w:after="0" w:line="240" w:lineRule="auto"/>
            </w:pPr>
            <w:r>
              <w:rPr>
                <w:sz w:val="18"/>
              </w:rPr>
              <w:t>7</w:t>
            </w:r>
          </w:p>
        </w:tc>
        <w:tc>
          <w:tcPr>
            <w:tcW w:w="1860" w:type="dxa"/>
            <w:tcMar>
              <w:top w:w="0" w:type="dxa"/>
              <w:bottom w:w="0" w:type="dxa"/>
            </w:tcMar>
            <w:vAlign w:val="center"/>
          </w:tcPr>
          <w:p w14:paraId="5A0C4F5E"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254DA3F7" w14:textId="77777777" w:rsidR="00AE37FA" w:rsidRDefault="00600A94">
            <w:pPr>
              <w:keepNext/>
              <w:keepLines/>
              <w:spacing w:after="0" w:line="240" w:lineRule="auto"/>
              <w:jc w:val="right"/>
            </w:pPr>
            <w:r>
              <w:rPr>
                <w:sz w:val="18"/>
              </w:rPr>
              <w:t>0,00</w:t>
            </w:r>
          </w:p>
        </w:tc>
        <w:tc>
          <w:tcPr>
            <w:tcW w:w="700" w:type="dxa"/>
            <w:tcMar>
              <w:top w:w="0" w:type="dxa"/>
              <w:bottom w:w="0" w:type="dxa"/>
            </w:tcMar>
            <w:vAlign w:val="center"/>
          </w:tcPr>
          <w:p w14:paraId="2E97F3E7" w14:textId="77777777" w:rsidR="00AE37FA" w:rsidRDefault="00600A94">
            <w:pPr>
              <w:keepNext/>
              <w:keepLines/>
              <w:spacing w:after="0" w:line="240" w:lineRule="auto"/>
              <w:jc w:val="right"/>
            </w:pPr>
            <w:r>
              <w:rPr>
                <w:sz w:val="18"/>
              </w:rPr>
              <w:t>-</w:t>
            </w:r>
          </w:p>
        </w:tc>
      </w:tr>
    </w:tbl>
    <w:p w14:paraId="156E252E" w14:textId="77777777" w:rsidR="00AE37FA" w:rsidRDefault="00AE37FA">
      <w:pPr>
        <w:spacing w:after="0"/>
      </w:pPr>
    </w:p>
    <w:p w14:paraId="3D951A0C" w14:textId="77777777" w:rsidR="00AE37FA" w:rsidRDefault="00600A94">
      <w:r>
        <w:t>Prihodi od prodaje nefinancijske imovine u razdoblju 01. siječnja do 31. ožujka 2026.  godine nisu ostvareni.</w:t>
      </w:r>
    </w:p>
    <w:p w14:paraId="1C150B03" w14:textId="77777777" w:rsidR="00AE37FA" w:rsidRDefault="00AE37FA"/>
    <w:p w14:paraId="6E5444F5" w14:textId="77777777" w:rsidR="00AE37FA" w:rsidRDefault="00600A9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02FD4A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66729"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1068FB"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86443"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B3A93"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30A3F"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7CDB7E" w14:textId="77777777" w:rsidR="00AE37FA" w:rsidRDefault="00600A94">
            <w:pPr>
              <w:keepNext/>
              <w:keepLines/>
              <w:spacing w:after="0" w:line="240" w:lineRule="auto"/>
              <w:jc w:val="center"/>
            </w:pPr>
            <w:r>
              <w:rPr>
                <w:b/>
                <w:sz w:val="18"/>
              </w:rPr>
              <w:t>Indeks (%)</w:t>
            </w:r>
          </w:p>
        </w:tc>
      </w:tr>
      <w:tr w:rsidR="00AE37FA" w14:paraId="207425ED" w14:textId="77777777">
        <w:tblPrEx>
          <w:tblCellMar>
            <w:top w:w="0" w:type="dxa"/>
            <w:bottom w:w="0" w:type="dxa"/>
          </w:tblCellMar>
        </w:tblPrEx>
        <w:trPr>
          <w:cantSplit/>
          <w:trHeight w:val="560"/>
        </w:trPr>
        <w:tc>
          <w:tcPr>
            <w:tcW w:w="700" w:type="dxa"/>
            <w:tcMar>
              <w:top w:w="0" w:type="dxa"/>
              <w:bottom w:w="0" w:type="dxa"/>
            </w:tcMar>
            <w:vAlign w:val="center"/>
          </w:tcPr>
          <w:p w14:paraId="4A329A0F" w14:textId="77777777" w:rsidR="00AE37FA" w:rsidRDefault="00600A94">
            <w:pPr>
              <w:keepNext/>
              <w:keepLines/>
              <w:spacing w:after="0" w:line="240" w:lineRule="auto"/>
            </w:pPr>
            <w:r>
              <w:rPr>
                <w:sz w:val="18"/>
              </w:rPr>
              <w:t>4</w:t>
            </w:r>
          </w:p>
        </w:tc>
        <w:tc>
          <w:tcPr>
            <w:tcW w:w="3180" w:type="dxa"/>
            <w:tcMar>
              <w:top w:w="0" w:type="dxa"/>
              <w:bottom w:w="0" w:type="dxa"/>
            </w:tcMar>
            <w:vAlign w:val="center"/>
          </w:tcPr>
          <w:p w14:paraId="124D1C9A" w14:textId="77777777" w:rsidR="00AE37FA" w:rsidRDefault="00600A9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34F00AF" w14:textId="77777777" w:rsidR="00AE37FA" w:rsidRDefault="00600A94">
            <w:pPr>
              <w:keepNext/>
              <w:keepLines/>
              <w:spacing w:after="0" w:line="240" w:lineRule="auto"/>
            </w:pPr>
            <w:r>
              <w:rPr>
                <w:sz w:val="18"/>
              </w:rPr>
              <w:t>4</w:t>
            </w:r>
          </w:p>
        </w:tc>
        <w:tc>
          <w:tcPr>
            <w:tcW w:w="1860" w:type="dxa"/>
            <w:tcMar>
              <w:top w:w="0" w:type="dxa"/>
              <w:bottom w:w="0" w:type="dxa"/>
            </w:tcMar>
            <w:vAlign w:val="center"/>
          </w:tcPr>
          <w:p w14:paraId="78DA1103" w14:textId="77777777" w:rsidR="00AE37FA" w:rsidRDefault="00600A94">
            <w:pPr>
              <w:keepNext/>
              <w:keepLines/>
              <w:spacing w:after="0" w:line="240" w:lineRule="auto"/>
              <w:jc w:val="right"/>
            </w:pPr>
            <w:r>
              <w:rPr>
                <w:sz w:val="18"/>
              </w:rPr>
              <w:t>190.746,22</w:t>
            </w:r>
          </w:p>
        </w:tc>
        <w:tc>
          <w:tcPr>
            <w:tcW w:w="1860" w:type="dxa"/>
            <w:tcMar>
              <w:top w:w="0" w:type="dxa"/>
              <w:bottom w:w="0" w:type="dxa"/>
            </w:tcMar>
            <w:vAlign w:val="center"/>
          </w:tcPr>
          <w:p w14:paraId="60CB9F51" w14:textId="77777777" w:rsidR="00AE37FA" w:rsidRDefault="00600A94">
            <w:pPr>
              <w:keepNext/>
              <w:keepLines/>
              <w:spacing w:after="0" w:line="240" w:lineRule="auto"/>
              <w:jc w:val="right"/>
            </w:pPr>
            <w:r>
              <w:rPr>
                <w:sz w:val="18"/>
              </w:rPr>
              <w:t>630.306,67</w:t>
            </w:r>
          </w:p>
        </w:tc>
        <w:tc>
          <w:tcPr>
            <w:tcW w:w="700" w:type="dxa"/>
            <w:tcMar>
              <w:top w:w="0" w:type="dxa"/>
              <w:bottom w:w="0" w:type="dxa"/>
            </w:tcMar>
            <w:vAlign w:val="center"/>
          </w:tcPr>
          <w:p w14:paraId="7EABD0BF" w14:textId="77777777" w:rsidR="00AE37FA" w:rsidRDefault="00600A94">
            <w:pPr>
              <w:keepNext/>
              <w:keepLines/>
              <w:spacing w:after="0" w:line="240" w:lineRule="auto"/>
              <w:jc w:val="right"/>
            </w:pPr>
            <w:r>
              <w:rPr>
                <w:sz w:val="18"/>
              </w:rPr>
              <w:t>330,4</w:t>
            </w:r>
          </w:p>
        </w:tc>
      </w:tr>
    </w:tbl>
    <w:p w14:paraId="22DFB65D" w14:textId="77777777" w:rsidR="00AE37FA" w:rsidRDefault="00AE37FA">
      <w:pPr>
        <w:spacing w:after="0"/>
      </w:pPr>
    </w:p>
    <w:p w14:paraId="7B63C946" w14:textId="77777777" w:rsidR="00AE37FA" w:rsidRDefault="00600A94">
      <w:r>
        <w:t>Rashodi za nabavu nefinancijske imovine u razdoblju od 01. siječnja do 31. ožujka 2026. godine ostvareni su u iznosu od 630.306,67€, odnosno  230,4% više u odnosu na iste rashode ostvarene u promatranom razdoblju 2025. godine. Na rast ovih rashoda utjecalo je povećanje rashoda za nabavu proizvedene dugotrajne imovine odnosno poslovnih objekata.</w:t>
      </w:r>
    </w:p>
    <w:p w14:paraId="3E2D8B2D" w14:textId="77777777" w:rsidR="00AE37FA" w:rsidRDefault="00AE37FA"/>
    <w:p w14:paraId="744103DA" w14:textId="77777777" w:rsidR="00AE37FA" w:rsidRDefault="00600A9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7ED049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DBF79"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E779C5"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375B4C"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B65F8F"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7CA89F"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5DB407" w14:textId="77777777" w:rsidR="00AE37FA" w:rsidRDefault="00600A94">
            <w:pPr>
              <w:keepNext/>
              <w:keepLines/>
              <w:spacing w:after="0" w:line="240" w:lineRule="auto"/>
              <w:jc w:val="center"/>
            </w:pPr>
            <w:r>
              <w:rPr>
                <w:b/>
                <w:sz w:val="18"/>
              </w:rPr>
              <w:t>Indeks (%)</w:t>
            </w:r>
          </w:p>
        </w:tc>
      </w:tr>
      <w:tr w:rsidR="00AE37FA" w14:paraId="501F1085" w14:textId="77777777">
        <w:tblPrEx>
          <w:tblCellMar>
            <w:top w:w="0" w:type="dxa"/>
            <w:bottom w:w="0" w:type="dxa"/>
          </w:tblCellMar>
        </w:tblPrEx>
        <w:trPr>
          <w:cantSplit/>
          <w:trHeight w:val="560"/>
        </w:trPr>
        <w:tc>
          <w:tcPr>
            <w:tcW w:w="700" w:type="dxa"/>
            <w:tcMar>
              <w:top w:w="0" w:type="dxa"/>
              <w:bottom w:w="0" w:type="dxa"/>
            </w:tcMar>
            <w:vAlign w:val="center"/>
          </w:tcPr>
          <w:p w14:paraId="179A2516" w14:textId="77777777" w:rsidR="00AE37FA" w:rsidRDefault="00600A94">
            <w:pPr>
              <w:keepNext/>
              <w:keepLines/>
              <w:spacing w:after="0" w:line="240" w:lineRule="auto"/>
            </w:pPr>
            <w:r>
              <w:rPr>
                <w:sz w:val="18"/>
              </w:rPr>
              <w:t>451</w:t>
            </w:r>
          </w:p>
        </w:tc>
        <w:tc>
          <w:tcPr>
            <w:tcW w:w="3180" w:type="dxa"/>
            <w:tcMar>
              <w:top w:w="0" w:type="dxa"/>
              <w:bottom w:w="0" w:type="dxa"/>
            </w:tcMar>
            <w:vAlign w:val="center"/>
          </w:tcPr>
          <w:p w14:paraId="0F8D835A" w14:textId="77777777" w:rsidR="00AE37FA" w:rsidRDefault="00600A94">
            <w:pPr>
              <w:keepNext/>
              <w:keepLines/>
              <w:spacing w:after="0" w:line="240" w:lineRule="auto"/>
            </w:pPr>
            <w:r>
              <w:rPr>
                <w:sz w:val="18"/>
              </w:rPr>
              <w:t>Dodatna ulaganja na građevinskim objektima</w:t>
            </w:r>
          </w:p>
        </w:tc>
        <w:tc>
          <w:tcPr>
            <w:tcW w:w="700" w:type="dxa"/>
            <w:tcMar>
              <w:top w:w="0" w:type="dxa"/>
              <w:bottom w:w="0" w:type="dxa"/>
            </w:tcMar>
            <w:vAlign w:val="center"/>
          </w:tcPr>
          <w:p w14:paraId="42F4DCAD" w14:textId="77777777" w:rsidR="00AE37FA" w:rsidRDefault="00600A94">
            <w:pPr>
              <w:keepNext/>
              <w:keepLines/>
              <w:spacing w:after="0" w:line="240" w:lineRule="auto"/>
            </w:pPr>
            <w:r>
              <w:rPr>
                <w:sz w:val="18"/>
              </w:rPr>
              <w:t>451</w:t>
            </w:r>
          </w:p>
        </w:tc>
        <w:tc>
          <w:tcPr>
            <w:tcW w:w="1860" w:type="dxa"/>
            <w:tcMar>
              <w:top w:w="0" w:type="dxa"/>
              <w:bottom w:w="0" w:type="dxa"/>
            </w:tcMar>
            <w:vAlign w:val="center"/>
          </w:tcPr>
          <w:p w14:paraId="46C2AF8A" w14:textId="77777777" w:rsidR="00AE37FA" w:rsidRDefault="00600A94">
            <w:pPr>
              <w:keepNext/>
              <w:keepLines/>
              <w:spacing w:after="0" w:line="240" w:lineRule="auto"/>
              <w:jc w:val="right"/>
            </w:pPr>
            <w:r>
              <w:rPr>
                <w:sz w:val="18"/>
              </w:rPr>
              <w:t>77.382,54</w:t>
            </w:r>
          </w:p>
        </w:tc>
        <w:tc>
          <w:tcPr>
            <w:tcW w:w="1860" w:type="dxa"/>
            <w:tcMar>
              <w:top w:w="0" w:type="dxa"/>
              <w:bottom w:w="0" w:type="dxa"/>
            </w:tcMar>
            <w:vAlign w:val="center"/>
          </w:tcPr>
          <w:p w14:paraId="35D5210B" w14:textId="77777777" w:rsidR="00AE37FA" w:rsidRDefault="00600A94">
            <w:pPr>
              <w:keepNext/>
              <w:keepLines/>
              <w:spacing w:after="0" w:line="240" w:lineRule="auto"/>
              <w:jc w:val="right"/>
            </w:pPr>
            <w:r>
              <w:rPr>
                <w:sz w:val="18"/>
              </w:rPr>
              <w:t>139.823,52</w:t>
            </w:r>
          </w:p>
        </w:tc>
        <w:tc>
          <w:tcPr>
            <w:tcW w:w="700" w:type="dxa"/>
            <w:tcMar>
              <w:top w:w="0" w:type="dxa"/>
              <w:bottom w:w="0" w:type="dxa"/>
            </w:tcMar>
            <w:vAlign w:val="center"/>
          </w:tcPr>
          <w:p w14:paraId="4C6169A7" w14:textId="77777777" w:rsidR="00AE37FA" w:rsidRDefault="00600A94">
            <w:pPr>
              <w:keepNext/>
              <w:keepLines/>
              <w:spacing w:after="0" w:line="240" w:lineRule="auto"/>
              <w:jc w:val="right"/>
            </w:pPr>
            <w:r>
              <w:rPr>
                <w:sz w:val="18"/>
              </w:rPr>
              <w:t>180,7</w:t>
            </w:r>
          </w:p>
        </w:tc>
      </w:tr>
    </w:tbl>
    <w:p w14:paraId="52C9AAE3" w14:textId="77777777" w:rsidR="00AE37FA" w:rsidRDefault="00AE37FA">
      <w:pPr>
        <w:spacing w:after="0"/>
      </w:pPr>
    </w:p>
    <w:p w14:paraId="1DADA7E0" w14:textId="77777777" w:rsidR="00AE37FA" w:rsidRDefault="00600A94">
      <w:r>
        <w:t>01. siječnja do 31. ožujka 2026. godine ostvareni su rashodi u iznosu od 139.823,52 € odnosno za 80,70 % više u odnosu na prethodnu 2025. godinu. Razlog tome je najviše zbog povećanja rashoda za dodatno ulaganje na objektu dječjeg vrtića Zlatarsko Zlato.</w:t>
      </w:r>
    </w:p>
    <w:p w14:paraId="2A0DF4F3" w14:textId="77777777" w:rsidR="00AE37FA" w:rsidRDefault="00AE37FA"/>
    <w:p w14:paraId="747AC712" w14:textId="77777777" w:rsidR="00AE37FA" w:rsidRDefault="00600A9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2D0BD9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33F19B"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C888B8"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31EAA3"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03495B"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21EF3E"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3E66D" w14:textId="77777777" w:rsidR="00AE37FA" w:rsidRDefault="00600A94">
            <w:pPr>
              <w:keepNext/>
              <w:keepLines/>
              <w:spacing w:after="0" w:line="240" w:lineRule="auto"/>
              <w:jc w:val="center"/>
            </w:pPr>
            <w:r>
              <w:rPr>
                <w:b/>
                <w:sz w:val="18"/>
              </w:rPr>
              <w:t>Indeks (%)</w:t>
            </w:r>
          </w:p>
        </w:tc>
      </w:tr>
      <w:tr w:rsidR="00AE37FA" w14:paraId="5D71EF9A" w14:textId="77777777">
        <w:tblPrEx>
          <w:tblCellMar>
            <w:top w:w="0" w:type="dxa"/>
            <w:bottom w:w="0" w:type="dxa"/>
          </w:tblCellMar>
        </w:tblPrEx>
        <w:trPr>
          <w:cantSplit/>
          <w:trHeight w:val="560"/>
        </w:trPr>
        <w:tc>
          <w:tcPr>
            <w:tcW w:w="700" w:type="dxa"/>
            <w:tcMar>
              <w:top w:w="0" w:type="dxa"/>
              <w:bottom w:w="0" w:type="dxa"/>
            </w:tcMar>
            <w:vAlign w:val="center"/>
          </w:tcPr>
          <w:p w14:paraId="3AAAF29B" w14:textId="77777777" w:rsidR="00AE37FA" w:rsidRDefault="00600A94">
            <w:pPr>
              <w:keepNext/>
              <w:keepLines/>
              <w:spacing w:after="0" w:line="240" w:lineRule="auto"/>
            </w:pPr>
            <w:r>
              <w:rPr>
                <w:sz w:val="18"/>
              </w:rPr>
              <w:t>8</w:t>
            </w:r>
          </w:p>
        </w:tc>
        <w:tc>
          <w:tcPr>
            <w:tcW w:w="3180" w:type="dxa"/>
            <w:tcMar>
              <w:top w:w="0" w:type="dxa"/>
              <w:bottom w:w="0" w:type="dxa"/>
            </w:tcMar>
            <w:vAlign w:val="center"/>
          </w:tcPr>
          <w:p w14:paraId="4B29EA97" w14:textId="77777777" w:rsidR="00AE37FA" w:rsidRDefault="00600A9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2198B3C" w14:textId="77777777" w:rsidR="00AE37FA" w:rsidRDefault="00600A94">
            <w:pPr>
              <w:keepNext/>
              <w:keepLines/>
              <w:spacing w:after="0" w:line="240" w:lineRule="auto"/>
            </w:pPr>
            <w:r>
              <w:rPr>
                <w:sz w:val="18"/>
              </w:rPr>
              <w:t>8</w:t>
            </w:r>
          </w:p>
        </w:tc>
        <w:tc>
          <w:tcPr>
            <w:tcW w:w="1860" w:type="dxa"/>
            <w:tcMar>
              <w:top w:w="0" w:type="dxa"/>
              <w:bottom w:w="0" w:type="dxa"/>
            </w:tcMar>
            <w:vAlign w:val="center"/>
          </w:tcPr>
          <w:p w14:paraId="48FF313F"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01111D6D" w14:textId="77777777" w:rsidR="00AE37FA" w:rsidRDefault="00600A94">
            <w:pPr>
              <w:keepNext/>
              <w:keepLines/>
              <w:spacing w:after="0" w:line="240" w:lineRule="auto"/>
              <w:jc w:val="right"/>
            </w:pPr>
            <w:r>
              <w:rPr>
                <w:sz w:val="18"/>
              </w:rPr>
              <w:t>97.249,31</w:t>
            </w:r>
          </w:p>
        </w:tc>
        <w:tc>
          <w:tcPr>
            <w:tcW w:w="700" w:type="dxa"/>
            <w:tcMar>
              <w:top w:w="0" w:type="dxa"/>
              <w:bottom w:w="0" w:type="dxa"/>
            </w:tcMar>
            <w:vAlign w:val="center"/>
          </w:tcPr>
          <w:p w14:paraId="08A2826B" w14:textId="77777777" w:rsidR="00AE37FA" w:rsidRDefault="00600A94">
            <w:pPr>
              <w:keepNext/>
              <w:keepLines/>
              <w:spacing w:after="0" w:line="240" w:lineRule="auto"/>
              <w:jc w:val="right"/>
            </w:pPr>
            <w:r>
              <w:rPr>
                <w:sz w:val="18"/>
              </w:rPr>
              <w:t>-</w:t>
            </w:r>
          </w:p>
        </w:tc>
      </w:tr>
    </w:tbl>
    <w:p w14:paraId="7701DD24" w14:textId="77777777" w:rsidR="00AE37FA" w:rsidRDefault="00AE37FA">
      <w:pPr>
        <w:spacing w:after="0"/>
      </w:pPr>
    </w:p>
    <w:p w14:paraId="1D8DAFB5" w14:textId="77777777" w:rsidR="00AE37FA" w:rsidRDefault="00600A94">
      <w:r>
        <w:t>Primici od financijske imovine i zaduživanja u razdoblju od 01. siječnja do 31. ožujka 2026.  godine  ostvareni su u iznosu od 97.249,31 €, dok  u promatranom razdoblju prethodne godine nisu  evidentirani-</w:t>
      </w:r>
    </w:p>
    <w:p w14:paraId="5F9A6F85" w14:textId="77777777" w:rsidR="00AE37FA" w:rsidRDefault="00AE37FA"/>
    <w:p w14:paraId="42B52712" w14:textId="77777777" w:rsidR="00AE37FA" w:rsidRDefault="00600A9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427BE0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A8AAA4"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72BE5"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BD39E"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025619"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DE71B"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87D179" w14:textId="77777777" w:rsidR="00AE37FA" w:rsidRDefault="00600A94">
            <w:pPr>
              <w:keepNext/>
              <w:keepLines/>
              <w:spacing w:after="0" w:line="240" w:lineRule="auto"/>
              <w:jc w:val="center"/>
            </w:pPr>
            <w:r>
              <w:rPr>
                <w:b/>
                <w:sz w:val="18"/>
              </w:rPr>
              <w:t>Indeks (%)</w:t>
            </w:r>
          </w:p>
        </w:tc>
      </w:tr>
      <w:tr w:rsidR="00AE37FA" w14:paraId="4A7B567D" w14:textId="77777777">
        <w:tblPrEx>
          <w:tblCellMar>
            <w:top w:w="0" w:type="dxa"/>
            <w:bottom w:w="0" w:type="dxa"/>
          </w:tblCellMar>
        </w:tblPrEx>
        <w:trPr>
          <w:cantSplit/>
          <w:trHeight w:val="560"/>
        </w:trPr>
        <w:tc>
          <w:tcPr>
            <w:tcW w:w="700" w:type="dxa"/>
            <w:tcMar>
              <w:top w:w="0" w:type="dxa"/>
              <w:bottom w:w="0" w:type="dxa"/>
            </w:tcMar>
            <w:vAlign w:val="center"/>
          </w:tcPr>
          <w:p w14:paraId="25627A02" w14:textId="77777777" w:rsidR="00AE37FA" w:rsidRDefault="00600A94">
            <w:pPr>
              <w:keepNext/>
              <w:keepLines/>
              <w:spacing w:after="0" w:line="240" w:lineRule="auto"/>
            </w:pPr>
            <w:r>
              <w:rPr>
                <w:sz w:val="18"/>
              </w:rPr>
              <w:t>844</w:t>
            </w:r>
          </w:p>
        </w:tc>
        <w:tc>
          <w:tcPr>
            <w:tcW w:w="3180" w:type="dxa"/>
            <w:tcMar>
              <w:top w:w="0" w:type="dxa"/>
              <w:bottom w:w="0" w:type="dxa"/>
            </w:tcMar>
            <w:vAlign w:val="center"/>
          </w:tcPr>
          <w:p w14:paraId="4DEF7112" w14:textId="77777777" w:rsidR="00AE37FA" w:rsidRDefault="00600A94">
            <w:pPr>
              <w:keepNext/>
              <w:keepLines/>
              <w:spacing w:after="0" w:line="240" w:lineRule="auto"/>
            </w:pPr>
            <w:r>
              <w:rPr>
                <w:sz w:val="18"/>
              </w:rPr>
              <w:t>Primljeni krediti i zajmovi od kreditnih i ostalih financijskih institucija izvan javnog sektora (šifre 8443 do 8448)</w:t>
            </w:r>
          </w:p>
        </w:tc>
        <w:tc>
          <w:tcPr>
            <w:tcW w:w="700" w:type="dxa"/>
            <w:tcMar>
              <w:top w:w="0" w:type="dxa"/>
              <w:bottom w:w="0" w:type="dxa"/>
            </w:tcMar>
            <w:vAlign w:val="center"/>
          </w:tcPr>
          <w:p w14:paraId="75D1B147" w14:textId="77777777" w:rsidR="00AE37FA" w:rsidRDefault="00600A94">
            <w:pPr>
              <w:keepNext/>
              <w:keepLines/>
              <w:spacing w:after="0" w:line="240" w:lineRule="auto"/>
            </w:pPr>
            <w:r>
              <w:rPr>
                <w:sz w:val="18"/>
              </w:rPr>
              <w:t>844</w:t>
            </w:r>
          </w:p>
        </w:tc>
        <w:tc>
          <w:tcPr>
            <w:tcW w:w="1860" w:type="dxa"/>
            <w:tcMar>
              <w:top w:w="0" w:type="dxa"/>
              <w:bottom w:w="0" w:type="dxa"/>
            </w:tcMar>
            <w:vAlign w:val="center"/>
          </w:tcPr>
          <w:p w14:paraId="088AE6A9" w14:textId="77777777" w:rsidR="00AE37FA" w:rsidRDefault="00600A94">
            <w:pPr>
              <w:keepNext/>
              <w:keepLines/>
              <w:spacing w:after="0" w:line="240" w:lineRule="auto"/>
              <w:jc w:val="right"/>
            </w:pPr>
            <w:r>
              <w:rPr>
                <w:sz w:val="18"/>
              </w:rPr>
              <w:t>0,00</w:t>
            </w:r>
          </w:p>
        </w:tc>
        <w:tc>
          <w:tcPr>
            <w:tcW w:w="1860" w:type="dxa"/>
            <w:tcMar>
              <w:top w:w="0" w:type="dxa"/>
              <w:bottom w:w="0" w:type="dxa"/>
            </w:tcMar>
            <w:vAlign w:val="center"/>
          </w:tcPr>
          <w:p w14:paraId="53BF8A3B" w14:textId="77777777" w:rsidR="00AE37FA" w:rsidRDefault="00600A94">
            <w:pPr>
              <w:keepNext/>
              <w:keepLines/>
              <w:spacing w:after="0" w:line="240" w:lineRule="auto"/>
              <w:jc w:val="right"/>
            </w:pPr>
            <w:r>
              <w:rPr>
                <w:sz w:val="18"/>
              </w:rPr>
              <w:t>97.249,31</w:t>
            </w:r>
          </w:p>
        </w:tc>
        <w:tc>
          <w:tcPr>
            <w:tcW w:w="700" w:type="dxa"/>
            <w:tcMar>
              <w:top w:w="0" w:type="dxa"/>
              <w:bottom w:w="0" w:type="dxa"/>
            </w:tcMar>
            <w:vAlign w:val="center"/>
          </w:tcPr>
          <w:p w14:paraId="7626D30B" w14:textId="77777777" w:rsidR="00AE37FA" w:rsidRDefault="00600A94">
            <w:pPr>
              <w:keepNext/>
              <w:keepLines/>
              <w:spacing w:after="0" w:line="240" w:lineRule="auto"/>
              <w:jc w:val="right"/>
            </w:pPr>
            <w:r>
              <w:rPr>
                <w:sz w:val="18"/>
              </w:rPr>
              <w:t>-</w:t>
            </w:r>
          </w:p>
        </w:tc>
      </w:tr>
    </w:tbl>
    <w:p w14:paraId="78B1DF3C" w14:textId="77777777" w:rsidR="00AE37FA" w:rsidRDefault="00AE37FA">
      <w:pPr>
        <w:spacing w:after="0"/>
      </w:pPr>
    </w:p>
    <w:p w14:paraId="5ACDFB3A" w14:textId="77777777" w:rsidR="00AE37FA" w:rsidRDefault="00600A94">
      <w:r>
        <w:t>Primici od financijske imovine i zaduživanja u razdoblju od 01. siječnja do 31. ožujka 2026.  godine  ostvareni su u iznosu od 97.249,31 €, dok  u promatranom razdoblju prethodne godine nisu  evidentirani. Odnose se na primljene kredite od tuzemnih kreditnih institucija izvan javnog sektora.</w:t>
      </w:r>
    </w:p>
    <w:p w14:paraId="2B2BD8C8" w14:textId="77777777" w:rsidR="00AE37FA" w:rsidRDefault="00AE37FA"/>
    <w:p w14:paraId="4C283C09" w14:textId="77777777" w:rsidR="00AE37FA" w:rsidRDefault="00600A9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E37FA" w14:paraId="07ECFC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93F4C5"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21F8B1"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E70F3"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FDB29" w14:textId="77777777" w:rsidR="00AE37FA" w:rsidRDefault="00600A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7BFA3" w14:textId="77777777" w:rsidR="00AE37FA" w:rsidRDefault="00600A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FA0E9" w14:textId="77777777" w:rsidR="00AE37FA" w:rsidRDefault="00600A94">
            <w:pPr>
              <w:keepNext/>
              <w:keepLines/>
              <w:spacing w:after="0" w:line="240" w:lineRule="auto"/>
              <w:jc w:val="center"/>
            </w:pPr>
            <w:r>
              <w:rPr>
                <w:b/>
                <w:sz w:val="18"/>
              </w:rPr>
              <w:t>Indeks (%)</w:t>
            </w:r>
          </w:p>
        </w:tc>
      </w:tr>
      <w:tr w:rsidR="00AE37FA" w14:paraId="538903E5" w14:textId="77777777">
        <w:tblPrEx>
          <w:tblCellMar>
            <w:top w:w="0" w:type="dxa"/>
            <w:bottom w:w="0" w:type="dxa"/>
          </w:tblCellMar>
        </w:tblPrEx>
        <w:trPr>
          <w:cantSplit/>
          <w:trHeight w:val="560"/>
        </w:trPr>
        <w:tc>
          <w:tcPr>
            <w:tcW w:w="700" w:type="dxa"/>
            <w:tcMar>
              <w:top w:w="0" w:type="dxa"/>
              <w:bottom w:w="0" w:type="dxa"/>
            </w:tcMar>
            <w:vAlign w:val="center"/>
          </w:tcPr>
          <w:p w14:paraId="29A0F135" w14:textId="77777777" w:rsidR="00AE37FA" w:rsidRDefault="00600A94">
            <w:pPr>
              <w:keepNext/>
              <w:keepLines/>
              <w:spacing w:after="0" w:line="240" w:lineRule="auto"/>
            </w:pPr>
            <w:r>
              <w:rPr>
                <w:sz w:val="18"/>
              </w:rPr>
              <w:t>5</w:t>
            </w:r>
          </w:p>
        </w:tc>
        <w:tc>
          <w:tcPr>
            <w:tcW w:w="3180" w:type="dxa"/>
            <w:tcMar>
              <w:top w:w="0" w:type="dxa"/>
              <w:bottom w:w="0" w:type="dxa"/>
            </w:tcMar>
            <w:vAlign w:val="center"/>
          </w:tcPr>
          <w:p w14:paraId="1E524523" w14:textId="77777777" w:rsidR="00AE37FA" w:rsidRDefault="00600A9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33231C" w14:textId="77777777" w:rsidR="00AE37FA" w:rsidRDefault="00600A94">
            <w:pPr>
              <w:keepNext/>
              <w:keepLines/>
              <w:spacing w:after="0" w:line="240" w:lineRule="auto"/>
            </w:pPr>
            <w:r>
              <w:rPr>
                <w:sz w:val="18"/>
              </w:rPr>
              <w:t>5</w:t>
            </w:r>
          </w:p>
        </w:tc>
        <w:tc>
          <w:tcPr>
            <w:tcW w:w="1860" w:type="dxa"/>
            <w:tcMar>
              <w:top w:w="0" w:type="dxa"/>
              <w:bottom w:w="0" w:type="dxa"/>
            </w:tcMar>
            <w:vAlign w:val="center"/>
          </w:tcPr>
          <w:p w14:paraId="25D6C962" w14:textId="77777777" w:rsidR="00AE37FA" w:rsidRDefault="00600A94">
            <w:pPr>
              <w:keepNext/>
              <w:keepLines/>
              <w:spacing w:after="0" w:line="240" w:lineRule="auto"/>
              <w:jc w:val="right"/>
            </w:pPr>
            <w:r>
              <w:rPr>
                <w:sz w:val="18"/>
              </w:rPr>
              <w:t>30.048,33</w:t>
            </w:r>
          </w:p>
        </w:tc>
        <w:tc>
          <w:tcPr>
            <w:tcW w:w="1860" w:type="dxa"/>
            <w:tcMar>
              <w:top w:w="0" w:type="dxa"/>
              <w:bottom w:w="0" w:type="dxa"/>
            </w:tcMar>
            <w:vAlign w:val="center"/>
          </w:tcPr>
          <w:p w14:paraId="3BF870C5" w14:textId="77777777" w:rsidR="00AE37FA" w:rsidRDefault="00600A94">
            <w:pPr>
              <w:keepNext/>
              <w:keepLines/>
              <w:spacing w:after="0" w:line="240" w:lineRule="auto"/>
              <w:jc w:val="right"/>
            </w:pPr>
            <w:r>
              <w:rPr>
                <w:sz w:val="18"/>
              </w:rPr>
              <w:t>49.817,43</w:t>
            </w:r>
          </w:p>
        </w:tc>
        <w:tc>
          <w:tcPr>
            <w:tcW w:w="700" w:type="dxa"/>
            <w:tcMar>
              <w:top w:w="0" w:type="dxa"/>
              <w:bottom w:w="0" w:type="dxa"/>
            </w:tcMar>
            <w:vAlign w:val="center"/>
          </w:tcPr>
          <w:p w14:paraId="450B09F0" w14:textId="77777777" w:rsidR="00AE37FA" w:rsidRDefault="00600A94">
            <w:pPr>
              <w:keepNext/>
              <w:keepLines/>
              <w:spacing w:after="0" w:line="240" w:lineRule="auto"/>
              <w:jc w:val="right"/>
            </w:pPr>
            <w:r>
              <w:rPr>
                <w:sz w:val="18"/>
              </w:rPr>
              <w:t>165,8</w:t>
            </w:r>
          </w:p>
        </w:tc>
      </w:tr>
    </w:tbl>
    <w:p w14:paraId="4A673B83" w14:textId="77777777" w:rsidR="00AE37FA" w:rsidRDefault="00AE37FA">
      <w:pPr>
        <w:spacing w:after="0"/>
      </w:pPr>
    </w:p>
    <w:p w14:paraId="7562E9D4" w14:textId="77777777" w:rsidR="00AE37FA" w:rsidRDefault="00600A94">
      <w:r>
        <w:t>Izdaci za financijsku imovinu i otplate zajmova u razdoblju od 01. siječnja do 31. ožujka 2026. godine ostvareni su u iznosu od 49.817,43 €, odnosno 65,8% više nego u promatranom razdoblju 2025. godine.</w:t>
      </w:r>
    </w:p>
    <w:p w14:paraId="6EB150AA" w14:textId="77777777" w:rsidR="00AE37FA" w:rsidRDefault="00AE37FA"/>
    <w:p w14:paraId="23708445" w14:textId="77777777" w:rsidR="00AE37FA" w:rsidRDefault="00600A94">
      <w:pPr>
        <w:keepNext/>
        <w:spacing w:line="240" w:lineRule="auto"/>
        <w:jc w:val="center"/>
      </w:pPr>
      <w:r>
        <w:rPr>
          <w:b/>
          <w:sz w:val="28"/>
        </w:rPr>
        <w:t>Izvještaj o obvezama</w:t>
      </w:r>
    </w:p>
    <w:p w14:paraId="2E8EFDF2" w14:textId="77777777" w:rsidR="00AE37FA" w:rsidRDefault="00600A9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E37FA" w14:paraId="102BD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B0ED34"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88B7E3"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34AB2"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55503B" w14:textId="77777777" w:rsidR="00AE37FA" w:rsidRDefault="00600A9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4F39871" w14:textId="77777777" w:rsidR="00AE37FA" w:rsidRDefault="00600A94">
            <w:pPr>
              <w:keepNext/>
              <w:keepLines/>
              <w:spacing w:after="0" w:line="240" w:lineRule="auto"/>
              <w:jc w:val="center"/>
            </w:pPr>
            <w:r>
              <w:rPr>
                <w:b/>
                <w:sz w:val="18"/>
              </w:rPr>
              <w:t>Indeks (%)</w:t>
            </w:r>
          </w:p>
        </w:tc>
      </w:tr>
      <w:tr w:rsidR="00AE37FA" w14:paraId="78CA1918" w14:textId="77777777">
        <w:tblPrEx>
          <w:tblCellMar>
            <w:top w:w="0" w:type="dxa"/>
            <w:bottom w:w="0" w:type="dxa"/>
          </w:tblCellMar>
        </w:tblPrEx>
        <w:trPr>
          <w:cantSplit/>
          <w:trHeight w:val="560"/>
        </w:trPr>
        <w:tc>
          <w:tcPr>
            <w:tcW w:w="700" w:type="dxa"/>
            <w:tcMar>
              <w:top w:w="0" w:type="dxa"/>
              <w:bottom w:w="0" w:type="dxa"/>
            </w:tcMar>
            <w:vAlign w:val="center"/>
          </w:tcPr>
          <w:p w14:paraId="7C3A8C6C" w14:textId="77777777" w:rsidR="00AE37FA" w:rsidRDefault="00AE37FA">
            <w:pPr>
              <w:keepNext/>
              <w:keepLines/>
              <w:spacing w:after="0" w:line="240" w:lineRule="auto"/>
            </w:pPr>
          </w:p>
        </w:tc>
        <w:tc>
          <w:tcPr>
            <w:tcW w:w="3180" w:type="dxa"/>
            <w:tcMar>
              <w:top w:w="0" w:type="dxa"/>
              <w:bottom w:w="0" w:type="dxa"/>
            </w:tcMar>
            <w:vAlign w:val="center"/>
          </w:tcPr>
          <w:p w14:paraId="6D29F375" w14:textId="77777777" w:rsidR="00AE37FA" w:rsidRDefault="00600A94">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7D6DC2D1" w14:textId="77777777" w:rsidR="00AE37FA" w:rsidRDefault="00600A94">
            <w:pPr>
              <w:keepNext/>
              <w:keepLines/>
              <w:spacing w:after="0" w:line="240" w:lineRule="auto"/>
            </w:pPr>
            <w:r>
              <w:rPr>
                <w:sz w:val="18"/>
              </w:rPr>
              <w:t>V002</w:t>
            </w:r>
          </w:p>
        </w:tc>
        <w:tc>
          <w:tcPr>
            <w:tcW w:w="1860" w:type="dxa"/>
            <w:tcMar>
              <w:top w:w="0" w:type="dxa"/>
              <w:bottom w:w="0" w:type="dxa"/>
            </w:tcMar>
            <w:vAlign w:val="center"/>
          </w:tcPr>
          <w:p w14:paraId="76D7BABE" w14:textId="77777777" w:rsidR="00AE37FA" w:rsidRDefault="00600A94">
            <w:pPr>
              <w:keepNext/>
              <w:keepLines/>
              <w:spacing w:after="0" w:line="240" w:lineRule="auto"/>
              <w:jc w:val="right"/>
            </w:pPr>
            <w:r>
              <w:rPr>
                <w:sz w:val="18"/>
              </w:rPr>
              <w:t>1.034.208,02</w:t>
            </w:r>
          </w:p>
        </w:tc>
        <w:tc>
          <w:tcPr>
            <w:tcW w:w="700" w:type="dxa"/>
            <w:tcMar>
              <w:top w:w="0" w:type="dxa"/>
              <w:bottom w:w="0" w:type="dxa"/>
            </w:tcMar>
            <w:vAlign w:val="center"/>
          </w:tcPr>
          <w:p w14:paraId="4D23FDBD" w14:textId="77777777" w:rsidR="00AE37FA" w:rsidRDefault="00600A94">
            <w:pPr>
              <w:keepNext/>
              <w:keepLines/>
              <w:spacing w:after="0" w:line="240" w:lineRule="auto"/>
              <w:jc w:val="right"/>
            </w:pPr>
            <w:r>
              <w:rPr>
                <w:sz w:val="18"/>
              </w:rPr>
              <w:t>-</w:t>
            </w:r>
          </w:p>
        </w:tc>
      </w:tr>
    </w:tbl>
    <w:p w14:paraId="7C319AF6" w14:textId="77777777" w:rsidR="00AE37FA" w:rsidRDefault="00AE37FA">
      <w:pPr>
        <w:spacing w:after="0"/>
      </w:pPr>
    </w:p>
    <w:p w14:paraId="1612C947" w14:textId="77777777" w:rsidR="00AE37FA" w:rsidRDefault="00600A94">
      <w:r>
        <w:t xml:space="preserve">Povećanje obveza u izvještajnom razdoblju iznosi 1.034.208,02 €, a isto se sastoji od obveza za rashode poslovanja u iznosu od 399.488,34 €, obveza za nabavu nefinancijske imovine u iznosu od 630.306,67 €, te obveza za predujmove, depozite, </w:t>
      </w:r>
      <w:proofErr w:type="spellStart"/>
      <w:r>
        <w:t>jamčevne</w:t>
      </w:r>
      <w:proofErr w:type="spellEnd"/>
      <w:r>
        <w:t xml:space="preserve"> </w:t>
      </w:r>
      <w:proofErr w:type="spellStart"/>
      <w:r>
        <w:t>pologe</w:t>
      </w:r>
      <w:proofErr w:type="spellEnd"/>
      <w:r>
        <w:t xml:space="preserve"> i tuđe prihode u iznosu od 4.413,01 €, dok je početno stanje 01.01.2026. godine 3.176.874,24 € što čini ukupno  4.211.082,26 € obveza. U izvještajnom razdoblju podmirene su obveze u ukupnom iznosu od 1.388.252,90 € te na kraju izvještajnog razdoblja tj. sa 31.03.2026. godine stanje obveza iznosi 2.822.829,36 €. Dospjele obveze na kraju izvještajnog razdoblja su evidentirane u iznosu od 6.525,17 € dok iznos nedospjelih obveza iznosi 2.816.304,19 € i to za obveze za rashode poslovanja, nabavu </w:t>
      </w:r>
      <w:r>
        <w:t xml:space="preserve">nefinancijske imovine, obveze za financijsku imovinu i obveze za predujmove, depozite, </w:t>
      </w:r>
      <w:proofErr w:type="spellStart"/>
      <w:r>
        <w:t>jamčevne</w:t>
      </w:r>
      <w:proofErr w:type="spellEnd"/>
      <w:r>
        <w:t xml:space="preserve"> </w:t>
      </w:r>
      <w:proofErr w:type="spellStart"/>
      <w:r>
        <w:t>pologe</w:t>
      </w:r>
      <w:proofErr w:type="spellEnd"/>
      <w:r>
        <w:t xml:space="preserve"> i tuđe prihode.</w:t>
      </w:r>
    </w:p>
    <w:p w14:paraId="69C070A6" w14:textId="77777777" w:rsidR="00AE37FA" w:rsidRDefault="00AE37FA"/>
    <w:p w14:paraId="16AE7191" w14:textId="77777777" w:rsidR="00AE37FA" w:rsidRDefault="00600A94">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E37FA" w14:paraId="419F2F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47724F" w14:textId="77777777" w:rsidR="00AE37FA" w:rsidRDefault="00600A9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F92819" w14:textId="77777777" w:rsidR="00AE37FA" w:rsidRDefault="00600A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843A66" w14:textId="77777777" w:rsidR="00AE37FA" w:rsidRDefault="00600A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C12383" w14:textId="77777777" w:rsidR="00AE37FA" w:rsidRDefault="00600A9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7C24DD" w14:textId="77777777" w:rsidR="00AE37FA" w:rsidRDefault="00600A94">
            <w:pPr>
              <w:keepNext/>
              <w:keepLines/>
              <w:spacing w:after="0" w:line="240" w:lineRule="auto"/>
              <w:jc w:val="center"/>
            </w:pPr>
            <w:r>
              <w:rPr>
                <w:b/>
                <w:sz w:val="18"/>
              </w:rPr>
              <w:t>Indeks (%)</w:t>
            </w:r>
          </w:p>
        </w:tc>
      </w:tr>
      <w:tr w:rsidR="00AE37FA" w14:paraId="6F014240" w14:textId="77777777">
        <w:tblPrEx>
          <w:tblCellMar>
            <w:top w:w="0" w:type="dxa"/>
            <w:bottom w:w="0" w:type="dxa"/>
          </w:tblCellMar>
        </w:tblPrEx>
        <w:trPr>
          <w:cantSplit/>
          <w:trHeight w:val="560"/>
        </w:trPr>
        <w:tc>
          <w:tcPr>
            <w:tcW w:w="700" w:type="dxa"/>
            <w:tcMar>
              <w:top w:w="0" w:type="dxa"/>
              <w:bottom w:w="0" w:type="dxa"/>
            </w:tcMar>
            <w:vAlign w:val="center"/>
          </w:tcPr>
          <w:p w14:paraId="12DC7D1C" w14:textId="77777777" w:rsidR="00AE37FA" w:rsidRDefault="00AE37FA">
            <w:pPr>
              <w:keepNext/>
              <w:keepLines/>
              <w:spacing w:after="0" w:line="240" w:lineRule="auto"/>
            </w:pPr>
          </w:p>
        </w:tc>
        <w:tc>
          <w:tcPr>
            <w:tcW w:w="3180" w:type="dxa"/>
            <w:tcMar>
              <w:top w:w="0" w:type="dxa"/>
              <w:bottom w:w="0" w:type="dxa"/>
            </w:tcMar>
            <w:vAlign w:val="center"/>
          </w:tcPr>
          <w:p w14:paraId="2FB852EB" w14:textId="77777777" w:rsidR="00AE37FA" w:rsidRDefault="00600A9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D51E09B" w14:textId="77777777" w:rsidR="00AE37FA" w:rsidRDefault="00600A94">
            <w:pPr>
              <w:keepNext/>
              <w:keepLines/>
              <w:spacing w:after="0" w:line="240" w:lineRule="auto"/>
            </w:pPr>
            <w:r>
              <w:rPr>
                <w:sz w:val="18"/>
              </w:rPr>
              <w:t>V007</w:t>
            </w:r>
          </w:p>
        </w:tc>
        <w:tc>
          <w:tcPr>
            <w:tcW w:w="1860" w:type="dxa"/>
            <w:tcMar>
              <w:top w:w="0" w:type="dxa"/>
              <w:bottom w:w="0" w:type="dxa"/>
            </w:tcMar>
            <w:vAlign w:val="center"/>
          </w:tcPr>
          <w:p w14:paraId="59226EFA" w14:textId="77777777" w:rsidR="00AE37FA" w:rsidRDefault="00600A94">
            <w:pPr>
              <w:keepNext/>
              <w:keepLines/>
              <w:spacing w:after="0" w:line="240" w:lineRule="auto"/>
              <w:jc w:val="right"/>
            </w:pPr>
            <w:r>
              <w:rPr>
                <w:sz w:val="18"/>
              </w:rPr>
              <w:t>6.525,17</w:t>
            </w:r>
          </w:p>
        </w:tc>
        <w:tc>
          <w:tcPr>
            <w:tcW w:w="700" w:type="dxa"/>
            <w:tcMar>
              <w:top w:w="0" w:type="dxa"/>
              <w:bottom w:w="0" w:type="dxa"/>
            </w:tcMar>
            <w:vAlign w:val="center"/>
          </w:tcPr>
          <w:p w14:paraId="19085067" w14:textId="77777777" w:rsidR="00AE37FA" w:rsidRDefault="00600A94">
            <w:pPr>
              <w:keepNext/>
              <w:keepLines/>
              <w:spacing w:after="0" w:line="240" w:lineRule="auto"/>
              <w:jc w:val="right"/>
            </w:pPr>
            <w:r>
              <w:rPr>
                <w:sz w:val="18"/>
              </w:rPr>
              <w:t>-</w:t>
            </w:r>
          </w:p>
        </w:tc>
      </w:tr>
    </w:tbl>
    <w:p w14:paraId="1E57925B" w14:textId="77777777" w:rsidR="00AE37FA" w:rsidRDefault="00AE37FA">
      <w:pPr>
        <w:spacing w:after="0"/>
      </w:pPr>
    </w:p>
    <w:p w14:paraId="20965F56" w14:textId="77777777" w:rsidR="00AE37FA" w:rsidRDefault="00600A94">
      <w:r>
        <w:t>Stanje dospjelih obveza na 31.03.2026. iznosi 6.525,17€ a odnosi se na obveze za zaposlene 5.678,59 (prekoračenje 1 do 60 dana) te obveze za materijalne rashode 846,58€.</w:t>
      </w:r>
    </w:p>
    <w:p w14:paraId="43D43B83" w14:textId="77777777" w:rsidR="00AE37FA" w:rsidRDefault="00AE37FA"/>
    <w:sectPr w:rsidR="00AE3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FA"/>
    <w:rsid w:val="00600A94"/>
    <w:rsid w:val="00897D93"/>
    <w:rsid w:val="00AE37FA"/>
    <w:rsid w:val="00F80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C155"/>
  <w15:docId w15:val="{9AB8A3D9-B6F3-4C7E-8086-776A27E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2647</Words>
  <Characters>15094</Characters>
  <Application>Microsoft Office Word</Application>
  <DocSecurity>0</DocSecurity>
  <Lines>125</Lines>
  <Paragraphs>35</Paragraphs>
  <ScaleCrop>false</ScaleCrop>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Štahan</dc:creator>
  <cp:lastModifiedBy>Matija Štahan</cp:lastModifiedBy>
  <cp:revision>2</cp:revision>
  <cp:lastPrinted>2026-04-15T14:34:00Z</cp:lastPrinted>
  <dcterms:created xsi:type="dcterms:W3CDTF">2026-04-15T14:36:00Z</dcterms:created>
  <dcterms:modified xsi:type="dcterms:W3CDTF">2026-04-15T14:36:00Z</dcterms:modified>
</cp:coreProperties>
</file>