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ccb39ae7b94f70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43087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GALERIJA IZVORNE UMJETNOSTI ZLATAR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21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10.237,38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7.129,86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69,6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10.294,74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8.038,95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78,1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57,36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909,09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1584,9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PRIHODA OD NEFINANCIJSKE IMOVINE (šifre 7-4,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X002, 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VIŠAK/MANJAK PRIMITAKA OD FINANCIJSKE IMOVINE I ZADUŽIVANJA (šifre 8-5, 5-8)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X003, Y003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57,36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909,09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1584,9</w:t>
            </w:r>
          </w:p>
        </w:tc>
      </w:tr>
    </w:tbl>
    <w:p>
      <w:pPr>
        <w:spacing w:before="0" w:after="0"/>
      </w:pPr>
    </w:p>
    <w:p>
      <w:r>
        <w:t xml:space="preserve">Galerija izvorne umjetnosti Zlatar je proračunski korisnik jedinice lokalne samouprave - Grada Zlatara, te je u izvještajnom razdoblju ostvarila ukupne prihode od 7.129,86 eur, sve iz nadležnog proračuna, te ukupne rashode financirane iz nadležnog proračuna od 8.038,95 eur.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10.237,38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7.129,86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69,6</w:t>
            </w:r>
          </w:p>
        </w:tc>
      </w:tr>
    </w:tbl>
    <w:p>
      <w:pPr>
        <w:spacing w:before="0" w:after="0"/>
      </w:pPr>
    </w:p>
    <w:p>
      <w:r>
        <w:t xml:space="preserve">Svi prihodi odnose se na prihode iz nadležnog proračuna Grada Zlatara za financiranje rashoda poslovanja i u odnosu na isto razdoblje 2025. godine manji su za 30,4% zbog manjih rashoda organizacije izložbi u 2026. godini.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10.294,74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8.038,95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78,1</w:t>
            </w:r>
          </w:p>
        </w:tc>
      </w:tr>
    </w:tbl>
    <w:p>
      <w:pPr>
        <w:spacing w:before="0" w:after="0"/>
      </w:pPr>
    </w:p>
    <w:p>
      <w:r>
        <w:t xml:space="preserve">Rashodi poslovanja u iznosu od 8.038,95 eur manji su za 21,9% u odnosu na isto razdoblje 2025. godine zbog manjih rashoda organizacije izložbi u 2026. godini.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POSLOVANJA (šifre Z005-6)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57,36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909,09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1584,9</w:t>
            </w:r>
          </w:p>
        </w:tc>
      </w:tr>
    </w:tbl>
    <w:p>
      <w:pPr>
        <w:spacing w:before="0" w:after="0"/>
      </w:pPr>
    </w:p>
    <w:p>
      <w:r>
        <w:t xml:space="preserve">Manjak prihoda poslovanja od 909,09 eur prikazuje se zbog prihoda iz nadležnog proračuna koji nisu dobiveni u izvještajnom razdoblju, a za rashode koji su teretili izvještajno razdoblje. Sredstva su tražena i dobivena iz nadležnog proračuna nakon 30.06.2026.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Manjak prihoda i primitaka za pokriće u sljedećem razdoblju (šifre Y005 + '9222-9221' - X005 - '9221-9222' 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Y006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39,76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1.652,32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4155,7</w:t>
            </w:r>
          </w:p>
        </w:tc>
      </w:tr>
    </w:tbl>
    <w:p>
      <w:pPr>
        <w:spacing w:before="0" w:after="0"/>
      </w:pPr>
    </w:p>
    <w:p>
      <w:r>
        <w:t xml:space="preserve">Manjak prihoda i primitaka za pokriće u sljedećem razdoblju sastoji se od manjka prihoda za izvještajno razdoblje od 909,09 eur te prenesenog manjka iz 2025. godine u iznosu od 743,23 eur. Sredstva za isto su tražena i dobivena iz nadležnog proračuna nakon 30.06.2026. godine.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Nema dospjelih obveza na dan 30.06.2026. godine.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Obveze za rashode poslovanja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ND23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1.668,26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Obveze za rashode poslovanja od 1.668,26 eur sve su nedospjele na dan 30.06.2026. godine.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7f1955d90694757" /></Relationships>
</file>